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91A5" w14:textId="77777777" w:rsidR="00FB047F" w:rsidRDefault="00FB047F" w:rsidP="00217417">
      <w:pPr>
        <w:pStyle w:val="Title"/>
        <w:rPr>
          <w:sz w:val="28"/>
          <w:szCs w:val="28"/>
        </w:rPr>
      </w:pPr>
    </w:p>
    <w:p w14:paraId="7E531BD6" w14:textId="77777777" w:rsidR="00217417" w:rsidRPr="00217417" w:rsidRDefault="00217417" w:rsidP="00217417">
      <w:pPr>
        <w:pStyle w:val="Title"/>
        <w:rPr>
          <w:sz w:val="28"/>
          <w:szCs w:val="28"/>
        </w:rPr>
      </w:pPr>
      <w:r w:rsidRPr="00217417">
        <w:rPr>
          <w:sz w:val="28"/>
          <w:szCs w:val="28"/>
        </w:rPr>
        <w:t>Terminal Evaluation Review form, GEF Evaluation Office, APR 2013</w:t>
      </w:r>
    </w:p>
    <w:p w14:paraId="555FCEA9"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1AA2C76F"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57881537"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2BF5FF3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71C9A8BD"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05B5C6F" w14:textId="440DD6BD" w:rsidR="007C3F0B" w:rsidRPr="007D0BE2" w:rsidRDefault="00107037"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2700</w:t>
            </w:r>
          </w:p>
        </w:tc>
      </w:tr>
      <w:tr w:rsidR="007C3F0B" w:rsidRPr="007D0BE2" w14:paraId="19CA12E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174DBD1A"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C5C3E2D" w14:textId="31CB1EBD" w:rsidR="007C3F0B" w:rsidRPr="007D0BE2" w:rsidRDefault="00F36D66"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3469</w:t>
            </w:r>
          </w:p>
        </w:tc>
      </w:tr>
      <w:tr w:rsidR="00A14365" w:rsidRPr="007D0BE2" w14:paraId="6E42041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842DCA2"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8173B12" w14:textId="29780936" w:rsidR="00A14365" w:rsidRPr="007D0BE2" w:rsidRDefault="00107037"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4</w:t>
            </w:r>
          </w:p>
        </w:tc>
      </w:tr>
      <w:tr w:rsidR="007C3F0B" w:rsidRPr="007D0BE2" w14:paraId="456803D5"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75A2FAE8"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8808481" w14:textId="03A89F32" w:rsidR="007C3F0B" w:rsidRPr="007D0BE2" w:rsidRDefault="00107037"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UNDP</w:t>
            </w:r>
          </w:p>
        </w:tc>
      </w:tr>
      <w:tr w:rsidR="0040472B" w:rsidRPr="007D0BE2" w14:paraId="47DD759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267DA58"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5304540" w14:textId="7585BDA1" w:rsidR="0040472B" w:rsidRPr="007D0BE2" w:rsidRDefault="00107037"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107037">
              <w:rPr>
                <w:rFonts w:ascii="Calibri" w:eastAsia="Times New Roman" w:hAnsi="Calibri" w:cstheme="minorHAnsi"/>
                <w:color w:val="000000"/>
                <w:sz w:val="18"/>
                <w:szCs w:val="18"/>
              </w:rPr>
              <w:t>Implementation of the Sustainable Development Strategy for the Seas of East Asia (SDS-SEA)</w:t>
            </w:r>
          </w:p>
        </w:tc>
      </w:tr>
      <w:tr w:rsidR="0040472B" w:rsidRPr="007D0BE2" w14:paraId="714F6C2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5F473A1"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E049831" w14:textId="46651124" w:rsidR="0040472B" w:rsidRPr="007D0BE2" w:rsidRDefault="00831D72" w:rsidP="0053679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Cambodia, China, Indonesia, Timor Leste, Philippines, Lao DPR, Thailand, Vietnam</w:t>
            </w:r>
            <w:r w:rsidR="0053679D">
              <w:rPr>
                <w:rFonts w:ascii="Calibri" w:eastAsia="Times New Roman" w:hAnsi="Calibri" w:cstheme="minorHAnsi"/>
                <w:color w:val="000000"/>
                <w:sz w:val="18"/>
                <w:szCs w:val="18"/>
              </w:rPr>
              <w:t xml:space="preserve">, </w:t>
            </w:r>
            <w:r w:rsidR="00107037" w:rsidRPr="00107037">
              <w:rPr>
                <w:rFonts w:ascii="Calibri" w:eastAsia="Times New Roman" w:hAnsi="Calibri" w:cstheme="minorHAnsi"/>
                <w:color w:val="000000"/>
                <w:sz w:val="18"/>
                <w:szCs w:val="18"/>
              </w:rPr>
              <w:t>Japan, Singapore, Republic of Korea</w:t>
            </w:r>
          </w:p>
        </w:tc>
      </w:tr>
      <w:tr w:rsidR="0040472B" w:rsidRPr="007D0BE2" w14:paraId="499112B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EF645DB"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8E2A2ED" w14:textId="2AA8D174" w:rsidR="0040472B" w:rsidRPr="007D0BE2" w:rsidRDefault="00107037"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Asia</w:t>
            </w:r>
          </w:p>
        </w:tc>
      </w:tr>
      <w:tr w:rsidR="0040472B" w:rsidRPr="007D0BE2" w14:paraId="2D5F1E8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D872422"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48214A7" w14:textId="5C128FF6" w:rsidR="0040472B" w:rsidRPr="007D0BE2" w:rsidRDefault="00107037"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107037">
              <w:rPr>
                <w:rFonts w:ascii="Calibri" w:eastAsia="Times New Roman" w:hAnsi="Calibri" w:cstheme="minorHAnsi"/>
                <w:color w:val="000000"/>
                <w:sz w:val="18"/>
                <w:szCs w:val="18"/>
              </w:rPr>
              <w:t>International Waters</w:t>
            </w:r>
          </w:p>
        </w:tc>
      </w:tr>
      <w:tr w:rsidR="0040472B" w:rsidRPr="007D0BE2" w14:paraId="34DB71EB"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5226B3F"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5523AD9" w14:textId="31CA09B6" w:rsidR="00831D72" w:rsidRDefault="00831D72" w:rsidP="00107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9- Integrated Land and Water Multiple Focal Area Operational Program</w:t>
            </w:r>
          </w:p>
          <w:p w14:paraId="2EE353F3" w14:textId="5B42CD0E" w:rsidR="00831D72" w:rsidRDefault="00831D72" w:rsidP="00107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IW2  - Reducing nutrient over-enrichment and oxygen depletion from land-based pollution</w:t>
            </w:r>
          </w:p>
          <w:p w14:paraId="09D6643E" w14:textId="4E5B184C" w:rsidR="0040472B" w:rsidRDefault="00107037" w:rsidP="00107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107037">
              <w:rPr>
                <w:rFonts w:ascii="Calibri" w:eastAsia="Times New Roman" w:hAnsi="Calibri" w:cstheme="minorHAnsi"/>
                <w:color w:val="000000"/>
                <w:sz w:val="18"/>
                <w:szCs w:val="18"/>
              </w:rPr>
              <w:t>S</w:t>
            </w:r>
            <w:r w:rsidR="00F15A7C">
              <w:rPr>
                <w:rFonts w:ascii="Calibri" w:eastAsia="Times New Roman" w:hAnsi="Calibri" w:cstheme="minorHAnsi"/>
                <w:color w:val="000000"/>
                <w:sz w:val="18"/>
                <w:szCs w:val="18"/>
              </w:rPr>
              <w:t>P</w:t>
            </w:r>
            <w:r>
              <w:rPr>
                <w:rFonts w:ascii="Calibri" w:eastAsia="Times New Roman" w:hAnsi="Calibri" w:cstheme="minorHAnsi"/>
                <w:color w:val="000000"/>
                <w:sz w:val="18"/>
                <w:szCs w:val="18"/>
              </w:rPr>
              <w:t xml:space="preserve"> </w:t>
            </w:r>
            <w:r w:rsidRPr="00107037">
              <w:rPr>
                <w:rFonts w:ascii="Calibri" w:eastAsia="Times New Roman" w:hAnsi="Calibri" w:cstheme="minorHAnsi"/>
                <w:color w:val="000000"/>
                <w:sz w:val="18"/>
                <w:szCs w:val="18"/>
              </w:rPr>
              <w:t>1: Restoring and sustaining coastal and marine fish stocks and associated biological diversity</w:t>
            </w:r>
            <w:r>
              <w:rPr>
                <w:rFonts w:ascii="Calibri" w:eastAsia="Times New Roman" w:hAnsi="Calibri" w:cstheme="minorHAnsi"/>
                <w:color w:val="000000"/>
                <w:sz w:val="18"/>
                <w:szCs w:val="18"/>
              </w:rPr>
              <w:t>.</w:t>
            </w:r>
          </w:p>
          <w:p w14:paraId="047919B2" w14:textId="7D170D19" w:rsidR="00F15A7C" w:rsidRPr="007D0BE2" w:rsidRDefault="00F15A7C" w:rsidP="00F15A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SP2: Reducing nutrient over-enrichment and oxygen depletion from land based pollution of coastal waters in LMEs</w:t>
            </w:r>
          </w:p>
        </w:tc>
      </w:tr>
      <w:tr w:rsidR="0040472B" w:rsidRPr="007D0BE2" w14:paraId="00D52C9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1AE1D4F" w14:textId="62185A08"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FA750D7" w14:textId="71B55581" w:rsidR="0040472B" w:rsidRPr="007D0BE2" w:rsidRDefault="00831D72"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IMO, </w:t>
            </w:r>
            <w:r w:rsidR="00107037" w:rsidRPr="00107037">
              <w:rPr>
                <w:rFonts w:ascii="Calibri" w:eastAsia="Times New Roman" w:hAnsi="Calibri" w:cstheme="minorHAnsi"/>
                <w:color w:val="000000"/>
                <w:sz w:val="18"/>
                <w:szCs w:val="18"/>
              </w:rPr>
              <w:t>UNOPS</w:t>
            </w:r>
            <w:r w:rsidR="00B60493">
              <w:rPr>
                <w:rFonts w:ascii="Calibri" w:eastAsia="Times New Roman" w:hAnsi="Calibri" w:cstheme="minorHAnsi"/>
                <w:color w:val="000000"/>
                <w:sz w:val="18"/>
                <w:szCs w:val="18"/>
              </w:rPr>
              <w:t>, PEMSEA</w:t>
            </w:r>
          </w:p>
        </w:tc>
      </w:tr>
      <w:tr w:rsidR="00BA5521" w:rsidRPr="007D0BE2" w14:paraId="71ECE78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D1C404D"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FDB7A3B" w14:textId="4B57C37A" w:rsidR="00BA5521" w:rsidRPr="00A846FF" w:rsidRDefault="00A846FF"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846FF">
              <w:rPr>
                <w:rFonts w:ascii="Calibri" w:eastAsia="Times New Roman" w:hAnsi="Calibri" w:cstheme="minorHAnsi"/>
                <w:color w:val="000000"/>
                <w:sz w:val="18"/>
                <w:szCs w:val="18"/>
              </w:rPr>
              <w:t>NGOs were involved, particularly as participants, stakeholders and partners, but specific names were not provided in the TE.</w:t>
            </w:r>
          </w:p>
        </w:tc>
      </w:tr>
      <w:tr w:rsidR="00BA5521" w:rsidRPr="007D0BE2" w14:paraId="2F1E58C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87A6605"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AA88C61" w14:textId="00F2F245" w:rsidR="00BA5521" w:rsidRPr="00A846FF" w:rsidRDefault="00A846FF" w:rsidP="00A846F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A846FF">
              <w:rPr>
                <w:rFonts w:ascii="Calibri" w:eastAsia="Times New Roman" w:hAnsi="Calibri" w:cstheme="minorHAnsi"/>
                <w:color w:val="000000"/>
                <w:sz w:val="18"/>
                <w:szCs w:val="18"/>
              </w:rPr>
              <w:t>Private sector was involved, but specific names were not provided in the TE.</w:t>
            </w:r>
          </w:p>
        </w:tc>
      </w:tr>
      <w:tr w:rsidR="00BA5521" w:rsidRPr="007D0BE2" w14:paraId="1854605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A40A7BB"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D6F77D0" w14:textId="6EEA6FD0" w:rsidR="00BA5521" w:rsidRPr="00A846FF" w:rsidRDefault="00AA71BB"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846FF">
              <w:rPr>
                <w:rFonts w:ascii="Calibri" w:eastAsia="Times New Roman" w:hAnsi="Calibri" w:cstheme="minorHAnsi"/>
                <w:color w:val="000000"/>
                <w:sz w:val="18"/>
                <w:szCs w:val="18"/>
              </w:rPr>
              <w:t>November 7, 2007</w:t>
            </w:r>
          </w:p>
        </w:tc>
      </w:tr>
      <w:tr w:rsidR="00BA5521" w:rsidRPr="007D0BE2" w14:paraId="08056C12"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80009FE"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48C5E2B" w14:textId="55265F9F" w:rsidR="00BA5521" w:rsidRPr="00007F2D" w:rsidRDefault="00B23099"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007F2D">
              <w:rPr>
                <w:rFonts w:ascii="Calibri" w:eastAsia="Times New Roman" w:hAnsi="Calibri" w:cstheme="minorHAnsi"/>
                <w:color w:val="000000"/>
                <w:sz w:val="18"/>
                <w:szCs w:val="18"/>
              </w:rPr>
              <w:t>2007</w:t>
            </w:r>
          </w:p>
        </w:tc>
      </w:tr>
      <w:tr w:rsidR="00BA5521" w:rsidRPr="007D0BE2" w14:paraId="5DB8144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30F96DA"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81AF866" w14:textId="732CEB4B" w:rsidR="00BA5521" w:rsidRPr="00007F2D" w:rsidRDefault="00B23099"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007F2D">
              <w:rPr>
                <w:rFonts w:ascii="Calibri" w:eastAsia="Times New Roman" w:hAnsi="Calibri" w:cstheme="minorHAnsi"/>
                <w:color w:val="000000"/>
                <w:sz w:val="18"/>
                <w:szCs w:val="18"/>
              </w:rPr>
              <w:t>June 2013</w:t>
            </w:r>
          </w:p>
        </w:tc>
      </w:tr>
      <w:tr w:rsidR="00BA5521" w:rsidRPr="007D0BE2" w14:paraId="3D02F1C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9EFD776"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129D5FD" w14:textId="761D17C9" w:rsidR="00BA5521" w:rsidRPr="00007F2D" w:rsidRDefault="00B23099"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007F2D">
              <w:rPr>
                <w:rFonts w:ascii="Calibri" w:eastAsia="Times New Roman" w:hAnsi="Calibri" w:cstheme="minorHAnsi"/>
                <w:color w:val="000000"/>
                <w:sz w:val="18"/>
                <w:szCs w:val="18"/>
              </w:rPr>
              <w:t>June 2013</w:t>
            </w:r>
          </w:p>
        </w:tc>
      </w:tr>
      <w:tr w:rsidR="00BA5521" w:rsidRPr="007D0BE2" w14:paraId="4FA4ED70"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3503035E"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4DBFED7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535B5B0"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7887C5CD"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0BBC3167"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7216DB00" w14:textId="77777777" w:rsidTr="000E230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5706FA00"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41B1BC2C"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CCC95" w14:textId="440EB086" w:rsidR="0079410E" w:rsidRPr="007D0BE2" w:rsidRDefault="009E0A47" w:rsidP="004019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40193E">
              <w:rPr>
                <w:rFonts w:ascii="Calibri" w:eastAsia="Times New Roman" w:hAnsi="Calibri" w:cstheme="minorHAnsi"/>
                <w:color w:val="000000"/>
                <w:sz w:val="18"/>
                <w:szCs w:val="18"/>
              </w:rPr>
              <w:t>7</w:t>
            </w:r>
          </w:p>
        </w:tc>
        <w:tc>
          <w:tcPr>
            <w:tcW w:w="2700" w:type="dxa"/>
            <w:tcBorders>
              <w:top w:val="single" w:sz="4" w:space="0" w:color="auto"/>
              <w:left w:val="single" w:sz="4" w:space="0" w:color="auto"/>
              <w:bottom w:val="single" w:sz="4" w:space="0" w:color="auto"/>
              <w:right w:val="single" w:sz="4" w:space="0" w:color="auto"/>
            </w:tcBorders>
            <w:vAlign w:val="center"/>
          </w:tcPr>
          <w:p w14:paraId="66915FD8" w14:textId="75E804DA" w:rsidR="0079410E" w:rsidRPr="007D0BE2" w:rsidRDefault="0040193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0.8</w:t>
            </w:r>
          </w:p>
        </w:tc>
      </w:tr>
      <w:tr w:rsidR="0079410E" w:rsidRPr="007D0BE2" w14:paraId="1F32A8A9" w14:textId="77777777" w:rsidTr="000E2309">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1DC80AA"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3340E8BA"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D01DC" w14:textId="77777777"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45AD2A0A" w14:textId="77777777"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0769DC4D" w14:textId="77777777" w:rsidTr="000E230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57D2BDD"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8C0A2" w14:textId="00B31A71" w:rsidR="00AA71BB" w:rsidRPr="007D0BE2" w:rsidRDefault="009E0A47"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10.9</w:t>
            </w:r>
          </w:p>
        </w:tc>
        <w:tc>
          <w:tcPr>
            <w:tcW w:w="2700" w:type="dxa"/>
            <w:tcBorders>
              <w:top w:val="single" w:sz="4" w:space="0" w:color="auto"/>
              <w:left w:val="single" w:sz="4" w:space="0" w:color="auto"/>
            </w:tcBorders>
            <w:vAlign w:val="center"/>
          </w:tcPr>
          <w:p w14:paraId="10D2F0BA" w14:textId="19A1F95C" w:rsidR="00BA5521" w:rsidRPr="007D0BE2" w:rsidRDefault="0040193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10.9</w:t>
            </w:r>
          </w:p>
        </w:tc>
      </w:tr>
      <w:tr w:rsidR="00BA5521" w:rsidRPr="007D0BE2" w14:paraId="55BAE2E1" w14:textId="77777777" w:rsidTr="000E2309">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03352974" w14:textId="3573E32A" w:rsidR="00BA5521" w:rsidRPr="007D0BE2" w:rsidRDefault="00BA5521"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2983F273" w14:textId="77777777" w:rsidR="00BA5521" w:rsidRPr="007D0BE2"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IA/EA own</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FF2B" w14:textId="77777777" w:rsidR="00BA5521" w:rsidRPr="007D0BE2" w:rsidRDefault="00BA552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7C61F9D9" w14:textId="77777777" w:rsidR="00BA5521" w:rsidRPr="007D0BE2" w:rsidRDefault="00BA552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4C91CBEA" w14:textId="77777777" w:rsidTr="000E230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D9EC50D" w14:textId="77777777" w:rsidR="00BA5521" w:rsidRPr="007D0BE2" w:rsidRDefault="00BA552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4EFA7277" w14:textId="77777777" w:rsidR="00BA5521" w:rsidRPr="007D0BE2" w:rsidRDefault="00BA552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62B0D" w14:textId="77777777" w:rsidR="00BA5521" w:rsidRPr="007D0BE2" w:rsidRDefault="00BA552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7CAE7A2B" w14:textId="77777777" w:rsidR="00BA5521" w:rsidRPr="007D0BE2" w:rsidRDefault="00BA552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0A4C449D" w14:textId="77777777" w:rsidTr="000E2309">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1048B96F" w14:textId="77777777" w:rsidR="00BA5521" w:rsidRPr="007D0BE2" w:rsidRDefault="00BA552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50FEA09A" w14:textId="77777777" w:rsidR="00BA5521" w:rsidRPr="007D0BE2"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2683" w14:textId="77777777" w:rsidR="00BA5521" w:rsidRPr="007D0BE2" w:rsidRDefault="00BA552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44263F04" w14:textId="77777777" w:rsidR="00BA5521" w:rsidRPr="007D0BE2" w:rsidRDefault="00BA552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19F863D9" w14:textId="77777777" w:rsidTr="000E230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AF0EB7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0E90" w14:textId="6C6A60D9" w:rsidR="00BA5521" w:rsidRPr="007D0BE2" w:rsidRDefault="00E35CEF" w:rsidP="00E35C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w:t>
            </w:r>
            <w:r w:rsidR="009E0A47">
              <w:rPr>
                <w:rFonts w:ascii="Calibri" w:eastAsia="Times New Roman" w:hAnsi="Calibri" w:cstheme="minorHAnsi"/>
                <w:color w:val="000000"/>
                <w:sz w:val="18"/>
                <w:szCs w:val="18"/>
              </w:rPr>
              <w:t>.7</w:t>
            </w:r>
          </w:p>
        </w:tc>
        <w:tc>
          <w:tcPr>
            <w:tcW w:w="2700" w:type="dxa"/>
            <w:tcBorders>
              <w:left w:val="single" w:sz="4" w:space="0" w:color="auto"/>
            </w:tcBorders>
            <w:vAlign w:val="center"/>
          </w:tcPr>
          <w:p w14:paraId="468C9336" w14:textId="02856395" w:rsidR="00BA5521" w:rsidRPr="007D0BE2" w:rsidRDefault="00E35CE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11.7</w:t>
            </w:r>
          </w:p>
        </w:tc>
      </w:tr>
      <w:tr w:rsidR="00763C1B" w:rsidRPr="007D0BE2" w14:paraId="704B794D" w14:textId="77777777" w:rsidTr="000E2309">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91B3E84"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A411E" w14:textId="443DD4D3" w:rsidR="00763C1B" w:rsidRPr="000E2309" w:rsidRDefault="00AA71BB"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0E2309">
              <w:rPr>
                <w:rFonts w:ascii="Calibri" w:eastAsia="Times New Roman" w:hAnsi="Calibri" w:cstheme="minorHAnsi"/>
                <w:color w:val="000000"/>
                <w:sz w:val="18"/>
                <w:szCs w:val="18"/>
              </w:rPr>
              <w:t>33.</w:t>
            </w:r>
            <w:r w:rsidR="000E2309" w:rsidRPr="000E2309">
              <w:rPr>
                <w:rFonts w:ascii="Calibri" w:eastAsia="Times New Roman" w:hAnsi="Calibri" w:cstheme="minorHAnsi"/>
                <w:color w:val="000000"/>
                <w:sz w:val="18"/>
                <w:szCs w:val="18"/>
              </w:rPr>
              <w:t>3</w:t>
            </w:r>
          </w:p>
        </w:tc>
        <w:tc>
          <w:tcPr>
            <w:tcW w:w="2700" w:type="dxa"/>
            <w:tcBorders>
              <w:left w:val="single" w:sz="4" w:space="0" w:color="auto"/>
            </w:tcBorders>
            <w:shd w:val="clear" w:color="auto" w:fill="auto"/>
            <w:vAlign w:val="center"/>
          </w:tcPr>
          <w:p w14:paraId="36E0FCB5" w14:textId="131A69FD" w:rsidR="00763C1B" w:rsidRPr="000E2309" w:rsidRDefault="000E2309"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0E2309">
              <w:rPr>
                <w:rFonts w:ascii="Calibri" w:eastAsia="Times New Roman" w:hAnsi="Calibri" w:cstheme="minorHAnsi"/>
                <w:color w:val="000000"/>
                <w:sz w:val="18"/>
                <w:szCs w:val="18"/>
              </w:rPr>
              <w:t>80.6</w:t>
            </w:r>
          </w:p>
        </w:tc>
      </w:tr>
      <w:tr w:rsidR="00BA5521" w:rsidRPr="007D0BE2" w14:paraId="53C80679"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A797F1A"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420DD34D"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276FF60F" w14:textId="35D8029C" w:rsidR="00BA5521" w:rsidRPr="007D0BE2" w:rsidRDefault="00AA71BB"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45</w:t>
            </w:r>
          </w:p>
        </w:tc>
        <w:tc>
          <w:tcPr>
            <w:tcW w:w="2700" w:type="dxa"/>
            <w:tcBorders>
              <w:left w:val="single" w:sz="4" w:space="0" w:color="auto"/>
            </w:tcBorders>
            <w:vAlign w:val="center"/>
          </w:tcPr>
          <w:p w14:paraId="0D3F6310" w14:textId="7AEA66CA" w:rsidR="00BA5521" w:rsidRPr="007D0BE2" w:rsidRDefault="000764CC" w:rsidP="00E35CE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9</w:t>
            </w:r>
            <w:r w:rsidR="00E35CEF">
              <w:rPr>
                <w:rFonts w:ascii="Calibri" w:eastAsia="Times New Roman" w:hAnsi="Calibri" w:cstheme="minorHAnsi"/>
                <w:color w:val="000000"/>
                <w:sz w:val="18"/>
                <w:szCs w:val="18"/>
              </w:rPr>
              <w:t>2</w:t>
            </w:r>
            <w:r>
              <w:rPr>
                <w:rFonts w:ascii="Calibri" w:eastAsia="Times New Roman" w:hAnsi="Calibri" w:cstheme="minorHAnsi"/>
                <w:color w:val="000000"/>
                <w:sz w:val="18"/>
                <w:szCs w:val="18"/>
              </w:rPr>
              <w:t>.3</w:t>
            </w:r>
          </w:p>
        </w:tc>
      </w:tr>
      <w:tr w:rsidR="00BA5521" w:rsidRPr="007D0BE2" w14:paraId="7D1DC94C"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3BAD297F"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298404B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AC0527B"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F292BD9" w14:textId="6EAC10DB" w:rsidR="00BA5521" w:rsidRPr="007D0BE2" w:rsidRDefault="00B23099" w:rsidP="00B230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October</w:t>
            </w:r>
            <w:r w:rsidR="00107037">
              <w:rPr>
                <w:rFonts w:ascii="Calibri" w:eastAsia="Times New Roman" w:hAnsi="Calibri" w:cstheme="minorHAnsi"/>
                <w:color w:val="000000"/>
                <w:sz w:val="18"/>
                <w:szCs w:val="18"/>
              </w:rPr>
              <w:t xml:space="preserve"> 2012</w:t>
            </w:r>
          </w:p>
        </w:tc>
      </w:tr>
      <w:tr w:rsidR="00BA5521" w:rsidRPr="007D0BE2" w14:paraId="1EB9030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8B5B50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submission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DED96A4" w14:textId="3A4D4CA0" w:rsidR="00BA5521" w:rsidRPr="007D0BE2" w:rsidRDefault="0053679D"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November 2, 2012</w:t>
            </w:r>
          </w:p>
        </w:tc>
      </w:tr>
      <w:tr w:rsidR="00BA5521" w:rsidRPr="007D0BE2" w14:paraId="6059F05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AB5B0F5"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7526E2F" w14:textId="34BA4118" w:rsidR="00BA5521" w:rsidRPr="007D0BE2" w:rsidRDefault="00107037"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David A. LaRoche, </w:t>
            </w:r>
            <w:r w:rsidRPr="00107037">
              <w:rPr>
                <w:rFonts w:ascii="Calibri" w:eastAsia="Times New Roman" w:hAnsi="Calibri" w:cstheme="minorHAnsi"/>
                <w:color w:val="000000"/>
                <w:sz w:val="18"/>
                <w:szCs w:val="18"/>
              </w:rPr>
              <w:t>Dr. Clive Wilkinson</w:t>
            </w:r>
          </w:p>
        </w:tc>
      </w:tr>
      <w:tr w:rsidR="00BA5521" w:rsidRPr="007D0BE2" w14:paraId="0114EC3E"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5662FB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lastRenderedPageBreak/>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C407D54" w14:textId="60E80F57" w:rsidR="00BA5521" w:rsidRPr="007D0BE2" w:rsidRDefault="00686386"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February 21, 2014</w:t>
            </w:r>
          </w:p>
        </w:tc>
      </w:tr>
      <w:tr w:rsidR="00BA5521" w:rsidRPr="007D0BE2" w14:paraId="3CCAFAD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AB7A938"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2E380A5" w14:textId="72DF9AE4" w:rsidR="00BA5521" w:rsidRPr="007D0BE2" w:rsidRDefault="0053679D"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Dania Trespalacios</w:t>
            </w:r>
          </w:p>
        </w:tc>
      </w:tr>
      <w:tr w:rsidR="00BA5521" w:rsidRPr="007D0BE2" w14:paraId="52D1432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206EC5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peer review by (if GEF 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EA53438" w14:textId="5F2E9757" w:rsidR="00BA5521" w:rsidRPr="007D0BE2" w:rsidRDefault="00515AC2"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Joshua Schneck</w:t>
            </w:r>
          </w:p>
        </w:tc>
      </w:tr>
    </w:tbl>
    <w:p w14:paraId="4109FDEB" w14:textId="77777777" w:rsidR="007C3F0B" w:rsidRPr="00D22F3B" w:rsidRDefault="00D22F3B" w:rsidP="00D22F3B">
      <w:pPr>
        <w:tabs>
          <w:tab w:val="left" w:pos="7182"/>
        </w:tabs>
        <w:spacing w:after="0" w:line="240" w:lineRule="auto"/>
        <w:ind w:right="1202"/>
        <w:rPr>
          <w:rFonts w:eastAsia="Times New Roman" w:cstheme="minorHAnsi"/>
          <w:iCs/>
          <w:color w:val="000000"/>
          <w:sz w:val="18"/>
          <w:szCs w:val="18"/>
        </w:rPr>
      </w:pPr>
      <w:r w:rsidRPr="001E6CB5">
        <w:rPr>
          <w:rFonts w:eastAsia="Times New Roman" w:cstheme="minorHAnsi"/>
          <w:iCs/>
          <w:color w:val="000000"/>
          <w:sz w:val="18"/>
          <w:szCs w:val="18"/>
        </w:rPr>
        <w:t>*Includes contributions mobilized for the project from other multilateral agencies, bilateral development, cooperation agencies, NGOs, the private sector, and beneficiaries</w:t>
      </w:r>
      <w:r>
        <w:rPr>
          <w:rFonts w:eastAsia="Times New Roman" w:cstheme="minorHAnsi"/>
          <w:iCs/>
          <w:color w:val="000000"/>
          <w:sz w:val="18"/>
          <w:szCs w:val="18"/>
        </w:rPr>
        <w:t>.</w:t>
      </w:r>
    </w:p>
    <w:p w14:paraId="53F7A098" w14:textId="77777777" w:rsidR="00B23099" w:rsidRDefault="00B23099" w:rsidP="00B23099"/>
    <w:p w14:paraId="5124E1A0" w14:textId="3BCA1E42" w:rsidR="00D97F19" w:rsidRPr="00E54D5C" w:rsidRDefault="00F7719A" w:rsidP="00B23099">
      <w:r>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16F1449B"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EF09AA2"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3F68F4B8"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388115B4"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4B2A7295"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367A8FF4"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9025FB">
              <w:rPr>
                <w:sz w:val="18"/>
                <w:szCs w:val="18"/>
              </w:rPr>
              <w:t xml:space="preserve">EO </w:t>
            </w:r>
            <w:r w:rsidRPr="00291487">
              <w:rPr>
                <w:sz w:val="18"/>
                <w:szCs w:val="18"/>
              </w:rPr>
              <w:t>Review</w:t>
            </w:r>
          </w:p>
        </w:tc>
      </w:tr>
      <w:tr w:rsidR="0032201A" w:rsidRPr="00291487" w14:paraId="7B56E5F9"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40E1B44B" w14:textId="77777777" w:rsidR="0032201A" w:rsidRPr="009025FB" w:rsidRDefault="0032201A"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2DCE6DC0" w14:textId="7845F388" w:rsidR="0032201A" w:rsidRPr="00291487" w:rsidRDefault="00B255E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635523AF" w14:textId="5C75A088" w:rsidR="0032201A" w:rsidRPr="00291487" w:rsidRDefault="0032201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5446CE9C" w14:textId="605982AB" w:rsidR="0032201A" w:rsidRPr="00291487" w:rsidRDefault="008C580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58" w:type="dxa"/>
            <w:tcBorders>
              <w:top w:val="single" w:sz="4" w:space="0" w:color="auto"/>
              <w:left w:val="single" w:sz="4" w:space="0" w:color="auto"/>
              <w:bottom w:val="single" w:sz="4" w:space="0" w:color="auto"/>
              <w:right w:val="single" w:sz="4" w:space="0" w:color="auto"/>
            </w:tcBorders>
          </w:tcPr>
          <w:p w14:paraId="3B710EF0" w14:textId="15DC7210" w:rsidR="0032201A" w:rsidRPr="00291487" w:rsidRDefault="008F182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r>
      <w:tr w:rsidR="0032201A" w:rsidRPr="00291487" w14:paraId="3285C5C5"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4FC18B06" w14:textId="77777777" w:rsidR="0032201A" w:rsidRPr="009025FB" w:rsidRDefault="0032201A"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tcPr>
          <w:p w14:paraId="4EFF51E6" w14:textId="775BD890" w:rsidR="0032201A" w:rsidRPr="00291487" w:rsidRDefault="00B255E9"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Not rated</w:t>
            </w:r>
          </w:p>
        </w:tc>
        <w:tc>
          <w:tcPr>
            <w:tcW w:w="1440" w:type="dxa"/>
            <w:tcBorders>
              <w:top w:val="single" w:sz="4" w:space="0" w:color="auto"/>
              <w:left w:val="single" w:sz="4" w:space="0" w:color="auto"/>
              <w:bottom w:val="single" w:sz="4" w:space="0" w:color="auto"/>
              <w:right w:val="single" w:sz="4" w:space="0" w:color="auto"/>
            </w:tcBorders>
          </w:tcPr>
          <w:p w14:paraId="33F5D3E6" w14:textId="279C6D88" w:rsidR="0032201A" w:rsidRPr="00291487" w:rsidRDefault="0032201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w:t>
            </w:r>
          </w:p>
        </w:tc>
        <w:tc>
          <w:tcPr>
            <w:tcW w:w="1440" w:type="dxa"/>
            <w:tcBorders>
              <w:top w:val="single" w:sz="4" w:space="0" w:color="auto"/>
              <w:left w:val="single" w:sz="4" w:space="0" w:color="auto"/>
              <w:bottom w:val="single" w:sz="4" w:space="0" w:color="auto"/>
              <w:right w:val="single" w:sz="4" w:space="0" w:color="auto"/>
            </w:tcBorders>
          </w:tcPr>
          <w:p w14:paraId="78CEF53E" w14:textId="64F6B276" w:rsidR="0032201A" w:rsidRPr="00291487" w:rsidRDefault="008C580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c>
          <w:tcPr>
            <w:tcW w:w="1458" w:type="dxa"/>
            <w:tcBorders>
              <w:top w:val="single" w:sz="4" w:space="0" w:color="auto"/>
              <w:left w:val="single" w:sz="4" w:space="0" w:color="auto"/>
              <w:bottom w:val="single" w:sz="4" w:space="0" w:color="auto"/>
              <w:right w:val="single" w:sz="4" w:space="0" w:color="auto"/>
            </w:tcBorders>
          </w:tcPr>
          <w:p w14:paraId="36A351CC" w14:textId="285D7B2F" w:rsidR="0032201A" w:rsidRPr="00291487" w:rsidRDefault="003919FC"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w:t>
            </w:r>
            <w:r w:rsidR="00007F2D">
              <w:rPr>
                <w:color w:val="000000"/>
                <w:sz w:val="18"/>
                <w:szCs w:val="18"/>
              </w:rPr>
              <w:t>L</w:t>
            </w:r>
          </w:p>
        </w:tc>
      </w:tr>
      <w:tr w:rsidR="0032201A" w:rsidRPr="00291487" w14:paraId="20A98096"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100D50E" w14:textId="77777777" w:rsidR="0032201A" w:rsidRPr="009025FB" w:rsidRDefault="0032201A" w:rsidP="00291487">
            <w:pPr>
              <w:rPr>
                <w:color w:val="000000"/>
                <w:sz w:val="18"/>
                <w:szCs w:val="18"/>
              </w:rPr>
            </w:pPr>
            <w:r>
              <w:rPr>
                <w:color w:val="000000"/>
                <w:sz w:val="18"/>
                <w:szCs w:val="18"/>
              </w:rPr>
              <w:t>M&amp;E Design</w:t>
            </w:r>
          </w:p>
        </w:tc>
        <w:tc>
          <w:tcPr>
            <w:tcW w:w="1350" w:type="dxa"/>
            <w:tcBorders>
              <w:top w:val="single" w:sz="4" w:space="0" w:color="auto"/>
              <w:left w:val="single" w:sz="4" w:space="0" w:color="auto"/>
              <w:bottom w:val="single" w:sz="4" w:space="0" w:color="auto"/>
              <w:right w:val="single" w:sz="4" w:space="0" w:color="auto"/>
            </w:tcBorders>
          </w:tcPr>
          <w:p w14:paraId="27FA66A9" w14:textId="2B00265D" w:rsidR="0032201A" w:rsidRPr="00291487" w:rsidRDefault="00B255E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Not rated</w:t>
            </w:r>
          </w:p>
        </w:tc>
        <w:tc>
          <w:tcPr>
            <w:tcW w:w="1440" w:type="dxa"/>
            <w:tcBorders>
              <w:top w:val="single" w:sz="4" w:space="0" w:color="auto"/>
              <w:left w:val="single" w:sz="4" w:space="0" w:color="auto"/>
              <w:bottom w:val="single" w:sz="4" w:space="0" w:color="auto"/>
              <w:right w:val="single" w:sz="4" w:space="0" w:color="auto"/>
            </w:tcBorders>
          </w:tcPr>
          <w:p w14:paraId="4C411C70" w14:textId="3A0FA54C" w:rsidR="0032201A" w:rsidRPr="00291487" w:rsidRDefault="00486E1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78ECD39E" w14:textId="672938A0" w:rsidR="0032201A" w:rsidRPr="00291487" w:rsidRDefault="008C580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c>
          <w:tcPr>
            <w:tcW w:w="1458" w:type="dxa"/>
            <w:tcBorders>
              <w:top w:val="single" w:sz="4" w:space="0" w:color="auto"/>
              <w:left w:val="single" w:sz="4" w:space="0" w:color="auto"/>
              <w:bottom w:val="single" w:sz="4" w:space="0" w:color="auto"/>
              <w:right w:val="single" w:sz="4" w:space="0" w:color="auto"/>
            </w:tcBorders>
          </w:tcPr>
          <w:p w14:paraId="307F59EC" w14:textId="77D1F5A3" w:rsidR="0032201A" w:rsidRPr="00291487" w:rsidRDefault="0032201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r>
      <w:tr w:rsidR="0032201A" w:rsidRPr="00291487" w14:paraId="5E0019E3"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1B6C9C5" w14:textId="77777777" w:rsidR="0032201A" w:rsidRPr="009025FB" w:rsidRDefault="0032201A" w:rsidP="006502E5">
            <w:pPr>
              <w:rPr>
                <w:color w:val="000000"/>
                <w:sz w:val="18"/>
                <w:szCs w:val="18"/>
              </w:rPr>
            </w:pPr>
            <w:r>
              <w:rPr>
                <w:color w:val="000000"/>
                <w:sz w:val="18"/>
                <w:szCs w:val="18"/>
              </w:rPr>
              <w:t>M&amp;E Implementation</w:t>
            </w:r>
          </w:p>
        </w:tc>
        <w:tc>
          <w:tcPr>
            <w:tcW w:w="1350" w:type="dxa"/>
            <w:tcBorders>
              <w:top w:val="single" w:sz="4" w:space="0" w:color="auto"/>
              <w:left w:val="single" w:sz="4" w:space="0" w:color="auto"/>
              <w:bottom w:val="single" w:sz="4" w:space="0" w:color="auto"/>
              <w:right w:val="single" w:sz="4" w:space="0" w:color="auto"/>
            </w:tcBorders>
          </w:tcPr>
          <w:p w14:paraId="7C6744C8" w14:textId="27DB0CD5" w:rsidR="0032201A" w:rsidRPr="00291487" w:rsidRDefault="00B255E9"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Not rated</w:t>
            </w:r>
          </w:p>
        </w:tc>
        <w:tc>
          <w:tcPr>
            <w:tcW w:w="1440" w:type="dxa"/>
            <w:tcBorders>
              <w:top w:val="single" w:sz="4" w:space="0" w:color="auto"/>
              <w:left w:val="single" w:sz="4" w:space="0" w:color="auto"/>
              <w:bottom w:val="single" w:sz="4" w:space="0" w:color="auto"/>
              <w:right w:val="single" w:sz="4" w:space="0" w:color="auto"/>
            </w:tcBorders>
          </w:tcPr>
          <w:p w14:paraId="20C6B208" w14:textId="4913A1A9" w:rsidR="0032201A" w:rsidRPr="00291487" w:rsidRDefault="0032201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c>
          <w:tcPr>
            <w:tcW w:w="1440" w:type="dxa"/>
            <w:tcBorders>
              <w:top w:val="single" w:sz="4" w:space="0" w:color="auto"/>
              <w:left w:val="single" w:sz="4" w:space="0" w:color="auto"/>
              <w:bottom w:val="single" w:sz="4" w:space="0" w:color="auto"/>
              <w:right w:val="single" w:sz="4" w:space="0" w:color="auto"/>
            </w:tcBorders>
          </w:tcPr>
          <w:p w14:paraId="01A89CAD" w14:textId="336E3136" w:rsidR="0032201A" w:rsidRPr="00291487" w:rsidRDefault="008C580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MU</w:t>
            </w:r>
          </w:p>
        </w:tc>
        <w:tc>
          <w:tcPr>
            <w:tcW w:w="1458" w:type="dxa"/>
            <w:tcBorders>
              <w:top w:val="single" w:sz="4" w:space="0" w:color="auto"/>
              <w:left w:val="single" w:sz="4" w:space="0" w:color="auto"/>
              <w:bottom w:val="single" w:sz="4" w:space="0" w:color="auto"/>
              <w:right w:val="single" w:sz="4" w:space="0" w:color="auto"/>
            </w:tcBorders>
          </w:tcPr>
          <w:p w14:paraId="3C8F3C11" w14:textId="3B76DE89" w:rsidR="0032201A" w:rsidRPr="00291487" w:rsidRDefault="00E245C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32201A" w:rsidRPr="00291487" w14:paraId="11DCBF5A"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44EE0A3B" w14:textId="77777777" w:rsidR="0032201A" w:rsidRPr="009025FB" w:rsidRDefault="0032201A"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tcPr>
          <w:p w14:paraId="7B0B616E" w14:textId="5C086872" w:rsidR="0032201A" w:rsidRPr="00291487" w:rsidRDefault="00B255E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7EA5BDA8" w14:textId="6BA3F855" w:rsidR="0032201A" w:rsidRPr="00291487" w:rsidRDefault="0032201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3769CA3F" w14:textId="084D8E2F" w:rsidR="0032201A" w:rsidRPr="00291487" w:rsidRDefault="001F6350"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c>
          <w:tcPr>
            <w:tcW w:w="1458" w:type="dxa"/>
            <w:tcBorders>
              <w:top w:val="single" w:sz="4" w:space="0" w:color="auto"/>
              <w:left w:val="single" w:sz="4" w:space="0" w:color="auto"/>
              <w:bottom w:val="single" w:sz="4" w:space="0" w:color="auto"/>
              <w:right w:val="single" w:sz="4" w:space="0" w:color="auto"/>
            </w:tcBorders>
          </w:tcPr>
          <w:p w14:paraId="7080A23C" w14:textId="6D51868E" w:rsidR="0032201A" w:rsidRPr="00291487" w:rsidRDefault="001B00D0"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32201A" w:rsidRPr="00291487" w14:paraId="7505B33D"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CA5945E" w14:textId="77777777" w:rsidR="0032201A" w:rsidRPr="009025FB" w:rsidRDefault="0032201A"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tcPr>
          <w:p w14:paraId="5739CE96" w14:textId="499BC185" w:rsidR="0032201A" w:rsidRPr="00291487" w:rsidRDefault="00B255E9"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5FB734AB" w14:textId="205E6C2B" w:rsidR="0032201A" w:rsidRPr="00291487" w:rsidRDefault="0032201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126C7EB5" w14:textId="22544A49" w:rsidR="0032201A" w:rsidRPr="00291487" w:rsidRDefault="001F6350"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c>
          <w:tcPr>
            <w:tcW w:w="1458" w:type="dxa"/>
            <w:tcBorders>
              <w:top w:val="single" w:sz="4" w:space="0" w:color="auto"/>
              <w:left w:val="single" w:sz="4" w:space="0" w:color="auto"/>
              <w:bottom w:val="single" w:sz="4" w:space="0" w:color="auto"/>
              <w:right w:val="single" w:sz="4" w:space="0" w:color="auto"/>
            </w:tcBorders>
          </w:tcPr>
          <w:p w14:paraId="67459F86" w14:textId="3D5A3BC1" w:rsidR="0032201A" w:rsidRPr="00291487" w:rsidRDefault="0065423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32201A" w:rsidRPr="00291487" w14:paraId="0880D95D"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6BA2A03" w14:textId="77777777" w:rsidR="0032201A" w:rsidRPr="009025FB" w:rsidRDefault="0032201A" w:rsidP="00291487">
            <w:pPr>
              <w:rPr>
                <w:color w:val="000000"/>
                <w:sz w:val="18"/>
                <w:szCs w:val="18"/>
              </w:rPr>
            </w:pPr>
            <w:r w:rsidRPr="009025FB">
              <w:rPr>
                <w:color w:val="000000"/>
                <w:sz w:val="18"/>
                <w:szCs w:val="18"/>
              </w:rPr>
              <w:t xml:space="preserve">Quality of the </w:t>
            </w:r>
            <w:r>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tcPr>
          <w:p w14:paraId="5EEAA2DC" w14:textId="19881588" w:rsidR="0032201A" w:rsidRPr="00291487" w:rsidRDefault="00B255E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6A76AFCE" w14:textId="61687780" w:rsidR="0032201A" w:rsidRPr="00291487" w:rsidRDefault="0032201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66436287" w14:textId="477C5820" w:rsidR="0032201A" w:rsidRPr="00291487" w:rsidRDefault="001F6350"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Not rated</w:t>
            </w:r>
          </w:p>
        </w:tc>
        <w:tc>
          <w:tcPr>
            <w:tcW w:w="1458" w:type="dxa"/>
            <w:tcBorders>
              <w:top w:val="single" w:sz="4" w:space="0" w:color="auto"/>
              <w:left w:val="single" w:sz="4" w:space="0" w:color="auto"/>
              <w:bottom w:val="single" w:sz="4" w:space="0" w:color="auto"/>
              <w:right w:val="single" w:sz="4" w:space="0" w:color="auto"/>
            </w:tcBorders>
          </w:tcPr>
          <w:p w14:paraId="4227B613" w14:textId="7ACC6C36" w:rsidR="0032201A" w:rsidRPr="00291487" w:rsidRDefault="00A846FF"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bl>
    <w:p w14:paraId="521F6BD2" w14:textId="77777777" w:rsidR="00E54D5C" w:rsidRPr="00E9083B" w:rsidRDefault="00E968A4" w:rsidP="00D22F3B">
      <w:pPr>
        <w:pStyle w:val="Heading1"/>
      </w:pPr>
      <w:r>
        <w:t xml:space="preserve">3. </w:t>
      </w:r>
      <w:r w:rsidR="00D62957" w:rsidRPr="00E9083B">
        <w:t>Project Objectives</w:t>
      </w:r>
    </w:p>
    <w:p w14:paraId="1A78497B" w14:textId="77777777" w:rsidR="00422ED6" w:rsidRPr="00E9083B" w:rsidRDefault="000D3731" w:rsidP="00422ED6">
      <w:pPr>
        <w:pStyle w:val="Heading2"/>
      </w:pPr>
      <w:r w:rsidRPr="00E9083B">
        <w:t xml:space="preserve">3.1 </w:t>
      </w:r>
      <w:r w:rsidR="00D62957" w:rsidRPr="00E9083B">
        <w:t>Global Environmental Objectives</w:t>
      </w:r>
      <w:r w:rsidRPr="00E9083B">
        <w:t xml:space="preserve"> of the project: </w:t>
      </w:r>
    </w:p>
    <w:p w14:paraId="1D082AFA" w14:textId="5D656DF1" w:rsidR="00515AC2" w:rsidRPr="00E9083B" w:rsidRDefault="00515AC2" w:rsidP="00515AC2">
      <w:pPr>
        <w:spacing w:line="240" w:lineRule="auto"/>
        <w:ind w:left="720"/>
        <w:rPr>
          <w:rFonts w:asciiTheme="majorHAnsi" w:hAnsiTheme="majorHAnsi"/>
        </w:rPr>
      </w:pPr>
      <w:r>
        <w:rPr>
          <w:rFonts w:asciiTheme="majorHAnsi" w:hAnsiTheme="majorHAnsi"/>
        </w:rPr>
        <w:t xml:space="preserve">The SDS-SEA project hopes to ameliorate and reverse environmental degradation by action on </w:t>
      </w:r>
      <w:r w:rsidRPr="00752642">
        <w:rPr>
          <w:rFonts w:asciiTheme="majorHAnsi" w:hAnsiTheme="majorHAnsi"/>
        </w:rPr>
        <w:t>land-based and sea-based pollution, overfishing, loss of biodiversity, habitat preservation, sustainable water use and water resource management, natural and man-made hazards, and other challenges of sustainable coastal management.</w:t>
      </w:r>
    </w:p>
    <w:p w14:paraId="51F69D26" w14:textId="4AC89634" w:rsidR="00B92E7E" w:rsidRDefault="00641C22" w:rsidP="00931C2D">
      <w:pPr>
        <w:spacing w:line="240" w:lineRule="auto"/>
        <w:ind w:left="720"/>
        <w:rPr>
          <w:rFonts w:asciiTheme="majorHAnsi" w:hAnsiTheme="majorHAnsi"/>
        </w:rPr>
      </w:pPr>
      <w:r w:rsidRPr="00641C22">
        <w:rPr>
          <w:rFonts w:asciiTheme="majorHAnsi" w:hAnsiTheme="majorHAnsi"/>
        </w:rPr>
        <w:t>The Seas of East Asia are home to 30% of world coral reefs and mangroves, about 40% of world fish catch, 84% of the world aquaculture production, and is considered as one of the world’s center for marine biodiversity</w:t>
      </w:r>
      <w:r w:rsidR="00931C2D">
        <w:rPr>
          <w:rFonts w:asciiTheme="majorHAnsi" w:hAnsiTheme="majorHAnsi"/>
        </w:rPr>
        <w:t xml:space="preserve">. </w:t>
      </w:r>
      <w:r w:rsidR="00931C2D" w:rsidRPr="00931C2D">
        <w:rPr>
          <w:rFonts w:asciiTheme="majorHAnsi" w:hAnsiTheme="majorHAnsi"/>
        </w:rPr>
        <w:t>1.9 bi</w:t>
      </w:r>
      <w:r w:rsidR="00931C2D">
        <w:rPr>
          <w:rFonts w:asciiTheme="majorHAnsi" w:hAnsiTheme="majorHAnsi"/>
        </w:rPr>
        <w:t>llion people live in the region and depend on economic activities</w:t>
      </w:r>
      <w:r w:rsidR="00931C2D" w:rsidRPr="00931C2D">
        <w:rPr>
          <w:rFonts w:asciiTheme="majorHAnsi" w:hAnsiTheme="majorHAnsi"/>
        </w:rPr>
        <w:t xml:space="preserve"> largely clustered around the region’s </w:t>
      </w:r>
      <w:r w:rsidR="00931C2D">
        <w:rPr>
          <w:rFonts w:asciiTheme="majorHAnsi" w:hAnsiTheme="majorHAnsi"/>
        </w:rPr>
        <w:t xml:space="preserve">coastal cities. </w:t>
      </w:r>
      <w:r w:rsidR="00931C2D" w:rsidRPr="00931C2D">
        <w:rPr>
          <w:rFonts w:asciiTheme="majorHAnsi" w:hAnsiTheme="majorHAnsi"/>
        </w:rPr>
        <w:t xml:space="preserve">Traditional resource-based activities, such as coastal fisheries, aquaculture, forestry and agriculture, are found side by side with industry, shipping and tourism. </w:t>
      </w:r>
    </w:p>
    <w:p w14:paraId="57AC9996" w14:textId="4A565F44" w:rsidR="00752642" w:rsidRPr="00E9083B" w:rsidRDefault="00752642" w:rsidP="00931C2D">
      <w:pPr>
        <w:spacing w:line="240" w:lineRule="auto"/>
        <w:ind w:left="720"/>
        <w:rPr>
          <w:rFonts w:asciiTheme="majorHAnsi" w:hAnsiTheme="majorHAnsi"/>
        </w:rPr>
      </w:pPr>
      <w:r w:rsidRPr="00752642">
        <w:rPr>
          <w:rFonts w:asciiTheme="majorHAnsi" w:hAnsiTheme="majorHAnsi"/>
        </w:rPr>
        <w:t>Capture fisheries from the South China Sea contribute 10% of the world's landed catch</w:t>
      </w:r>
      <w:r>
        <w:rPr>
          <w:rFonts w:asciiTheme="majorHAnsi" w:hAnsiTheme="majorHAnsi"/>
        </w:rPr>
        <w:t>.  Five</w:t>
      </w:r>
      <w:r w:rsidRPr="00752642">
        <w:rPr>
          <w:rFonts w:asciiTheme="majorHAnsi" w:hAnsiTheme="majorHAnsi"/>
        </w:rPr>
        <w:t xml:space="preserve"> of the eight top shrimp producers in the world are countrie</w:t>
      </w:r>
      <w:r>
        <w:rPr>
          <w:rFonts w:asciiTheme="majorHAnsi" w:hAnsiTheme="majorHAnsi"/>
        </w:rPr>
        <w:t>s bordering the South China Sea. Coral reefs,</w:t>
      </w:r>
      <w:r w:rsidRPr="00752642">
        <w:rPr>
          <w:rFonts w:asciiTheme="majorHAnsi" w:hAnsiTheme="majorHAnsi"/>
        </w:rPr>
        <w:t xml:space="preserve"> mangroves, </w:t>
      </w:r>
      <w:r>
        <w:rPr>
          <w:rFonts w:asciiTheme="majorHAnsi" w:hAnsiTheme="majorHAnsi"/>
        </w:rPr>
        <w:t>and sea</w:t>
      </w:r>
      <w:r w:rsidR="00A76FBD">
        <w:rPr>
          <w:rFonts w:asciiTheme="majorHAnsi" w:hAnsiTheme="majorHAnsi"/>
        </w:rPr>
        <w:t xml:space="preserve"> </w:t>
      </w:r>
      <w:r>
        <w:rPr>
          <w:rFonts w:asciiTheme="majorHAnsi" w:hAnsiTheme="majorHAnsi"/>
        </w:rPr>
        <w:t xml:space="preserve">grass beds </w:t>
      </w:r>
      <w:r w:rsidRPr="00752642">
        <w:rPr>
          <w:rFonts w:asciiTheme="majorHAnsi" w:hAnsiTheme="majorHAnsi"/>
        </w:rPr>
        <w:t>provide food, employment and foreign exchange earnings to the countries of the region. For the whole Southeast Asian region, the potential economic value of well-managed coral reefs is estimated to be 42.5% of the global total of US$29.8 billion.</w:t>
      </w:r>
    </w:p>
    <w:p w14:paraId="5022D96E" w14:textId="6BD57FF4" w:rsidR="00752642" w:rsidRDefault="00752642" w:rsidP="00752642">
      <w:pPr>
        <w:spacing w:line="240" w:lineRule="auto"/>
        <w:ind w:left="720"/>
        <w:rPr>
          <w:rFonts w:asciiTheme="majorHAnsi" w:hAnsiTheme="majorHAnsi"/>
        </w:rPr>
      </w:pPr>
      <w:r>
        <w:rPr>
          <w:rFonts w:asciiTheme="majorHAnsi" w:hAnsiTheme="majorHAnsi"/>
        </w:rPr>
        <w:t xml:space="preserve">This area faces tremendous environmental pressures that are rapidly degrading the environment, including population growth, dynamic economic growth, rising global demand for the region’s natural resources, and </w:t>
      </w:r>
      <w:r w:rsidRPr="00752642">
        <w:rPr>
          <w:rFonts w:asciiTheme="majorHAnsi" w:hAnsiTheme="majorHAnsi"/>
        </w:rPr>
        <w:t>rapid</w:t>
      </w:r>
      <w:r>
        <w:rPr>
          <w:rFonts w:asciiTheme="majorHAnsi" w:hAnsiTheme="majorHAnsi"/>
        </w:rPr>
        <w:t>ly increasing shipping traffic.</w:t>
      </w:r>
    </w:p>
    <w:p w14:paraId="415BEC1F" w14:textId="77777777" w:rsidR="00422ED6" w:rsidRPr="00E9083B" w:rsidRDefault="000D3731" w:rsidP="00422ED6">
      <w:pPr>
        <w:pStyle w:val="Heading2"/>
      </w:pPr>
      <w:r w:rsidRPr="00E9083B">
        <w:t xml:space="preserve">3.2 </w:t>
      </w:r>
      <w:r w:rsidR="00E54D5C" w:rsidRPr="00E9083B">
        <w:t>Development Objectives of the project:</w:t>
      </w:r>
    </w:p>
    <w:p w14:paraId="0671C7D2" w14:textId="77777777" w:rsidR="00FB047F" w:rsidRDefault="00FB047F" w:rsidP="00FB047F">
      <w:pPr>
        <w:spacing w:line="240" w:lineRule="auto"/>
        <w:ind w:left="720"/>
        <w:rPr>
          <w:rFonts w:asciiTheme="majorHAnsi" w:hAnsiTheme="majorHAnsi"/>
        </w:rPr>
      </w:pPr>
      <w:r>
        <w:rPr>
          <w:rFonts w:asciiTheme="majorHAnsi" w:hAnsiTheme="majorHAnsi"/>
        </w:rPr>
        <w:t xml:space="preserve">The development objective of this project is the </w:t>
      </w:r>
      <w:r w:rsidRPr="00FB047F">
        <w:rPr>
          <w:rFonts w:asciiTheme="majorHAnsi" w:hAnsiTheme="majorHAnsi"/>
        </w:rPr>
        <w:t xml:space="preserve">implementation of the Sustainable Development Strategy for the Seas of East Asia (SDS-SEA) through mobilization of the necessary partnership arrangements, operating mechanisms, intellectual capital, support services and resources for the achievement of their shared vision of sustainable use of the coastal and marine resources of the region and the development targets of the WSSD Plan of Implementation.  </w:t>
      </w:r>
    </w:p>
    <w:p w14:paraId="107EF2E3" w14:textId="77777777" w:rsidR="00FB047F" w:rsidRDefault="00FB047F" w:rsidP="00FB047F">
      <w:pPr>
        <w:spacing w:line="240" w:lineRule="auto"/>
        <w:ind w:left="720"/>
        <w:rPr>
          <w:rFonts w:asciiTheme="majorHAnsi" w:hAnsiTheme="majorHAnsi"/>
        </w:rPr>
      </w:pPr>
      <w:r>
        <w:rPr>
          <w:rFonts w:asciiTheme="majorHAnsi" w:hAnsiTheme="majorHAnsi"/>
        </w:rPr>
        <w:t>The project has 3 immediate objectives:</w:t>
      </w:r>
    </w:p>
    <w:p w14:paraId="35AB4CCE" w14:textId="3AF988A3" w:rsidR="00FB047F" w:rsidRPr="00FB047F" w:rsidRDefault="00FB047F" w:rsidP="00414563">
      <w:pPr>
        <w:spacing w:line="240" w:lineRule="auto"/>
        <w:ind w:left="1440" w:hanging="720"/>
        <w:rPr>
          <w:rFonts w:asciiTheme="majorHAnsi" w:hAnsiTheme="majorHAnsi"/>
        </w:rPr>
      </w:pPr>
      <w:r>
        <w:rPr>
          <w:rFonts w:asciiTheme="majorHAnsi" w:hAnsiTheme="majorHAnsi"/>
        </w:rPr>
        <w:t>1)</w:t>
      </w:r>
      <w:r>
        <w:rPr>
          <w:rFonts w:asciiTheme="majorHAnsi" w:hAnsiTheme="majorHAnsi"/>
        </w:rPr>
        <w:tab/>
        <w:t xml:space="preserve">Implementation of </w:t>
      </w:r>
      <w:r w:rsidRPr="00FB047F">
        <w:rPr>
          <w:rFonts w:asciiTheme="majorHAnsi" w:hAnsiTheme="majorHAnsi"/>
        </w:rPr>
        <w:t>SDS-SEA programs aimed at legal, policy and institutional reforms, and investments at the local, national and regional levels, with a particular focus on scaling up and sustaining integrated coastal management (ICM) practices to reduce coastal and marine degradation;</w:t>
      </w:r>
    </w:p>
    <w:p w14:paraId="07AE440B" w14:textId="2C3B4066" w:rsidR="00FB047F" w:rsidRPr="00FB047F" w:rsidRDefault="00FB047F" w:rsidP="00414563">
      <w:pPr>
        <w:spacing w:line="240" w:lineRule="auto"/>
        <w:ind w:left="1440" w:hanging="720"/>
        <w:rPr>
          <w:rFonts w:asciiTheme="majorHAnsi" w:hAnsiTheme="majorHAnsi"/>
        </w:rPr>
      </w:pPr>
      <w:r w:rsidRPr="00FB047F">
        <w:rPr>
          <w:rFonts w:asciiTheme="majorHAnsi" w:hAnsiTheme="majorHAnsi"/>
        </w:rPr>
        <w:t>2)</w:t>
      </w:r>
      <w:r w:rsidRPr="00FB047F">
        <w:rPr>
          <w:rFonts w:asciiTheme="majorHAnsi" w:hAnsiTheme="majorHAnsi"/>
        </w:rPr>
        <w:tab/>
        <w:t xml:space="preserve">Verification, dissemination and promotion of </w:t>
      </w:r>
      <w:r w:rsidR="00A8098C">
        <w:rPr>
          <w:rFonts w:asciiTheme="majorHAnsi" w:hAnsiTheme="majorHAnsi"/>
        </w:rPr>
        <w:t xml:space="preserve">lessons and best practices, </w:t>
      </w:r>
      <w:r w:rsidRPr="00FB047F">
        <w:rPr>
          <w:rFonts w:asciiTheme="majorHAnsi" w:hAnsiTheme="majorHAnsi"/>
        </w:rPr>
        <w:t>in collaboration with IW: Learn and other partners; and</w:t>
      </w:r>
    </w:p>
    <w:p w14:paraId="638EE86F" w14:textId="598C46DC" w:rsidR="00FB047F" w:rsidRPr="00E9083B" w:rsidRDefault="00FB047F" w:rsidP="00A877DE">
      <w:pPr>
        <w:spacing w:line="240" w:lineRule="auto"/>
        <w:ind w:left="1440" w:hanging="720"/>
        <w:rPr>
          <w:rFonts w:asciiTheme="majorHAnsi" w:hAnsiTheme="majorHAnsi"/>
        </w:rPr>
      </w:pPr>
      <w:r w:rsidRPr="00FB047F">
        <w:rPr>
          <w:rFonts w:asciiTheme="majorHAnsi" w:hAnsiTheme="majorHAnsi"/>
        </w:rPr>
        <w:t>3)</w:t>
      </w:r>
      <w:r w:rsidRPr="00FB047F">
        <w:rPr>
          <w:rFonts w:asciiTheme="majorHAnsi" w:hAnsiTheme="majorHAnsi"/>
        </w:rPr>
        <w:tab/>
        <w:t>A Strategic Partnership between participating countries, UNDP, the World Bank and other stakeholders to stimulate and co-finance site-specific private and/or public-private land-based pollution reduction investments under the GEF/World Bank Pollution Reduction Investment Fund for the LMEs of East Asia.</w:t>
      </w:r>
      <w:r w:rsidR="003579F5" w:rsidRPr="00E9083B">
        <w:rPr>
          <w:rFonts w:asciiTheme="majorHAnsi" w:hAnsiTheme="majorHAnsi"/>
        </w:rPr>
        <w:tab/>
      </w:r>
    </w:p>
    <w:p w14:paraId="43A02D42" w14:textId="77777777" w:rsidR="00422ED6" w:rsidRPr="00E9083B" w:rsidRDefault="000D3731" w:rsidP="00614163">
      <w:pPr>
        <w:pStyle w:val="Heading2"/>
      </w:pPr>
      <w:r w:rsidRPr="00E9083B">
        <w:t xml:space="preserve">3.3 Were there any </w:t>
      </w:r>
      <w:r w:rsidRPr="00E9083B">
        <w:rPr>
          <w:b/>
        </w:rPr>
        <w:t>c</w:t>
      </w:r>
      <w:r w:rsidR="0098302E" w:rsidRPr="00E9083B">
        <w:rPr>
          <w:b/>
        </w:rPr>
        <w:t>hanges</w:t>
      </w:r>
      <w:r w:rsidR="0098302E" w:rsidRPr="00E9083B">
        <w:t xml:space="preserve"> in the Global Environmental Objectives, Development Objectives, or other activities</w:t>
      </w:r>
      <w:r w:rsidRPr="00E9083B">
        <w:t xml:space="preserve"> during implementation?</w:t>
      </w:r>
    </w:p>
    <w:p w14:paraId="21BE9681" w14:textId="6A695804" w:rsidR="00453062" w:rsidRDefault="003919FC" w:rsidP="00453062">
      <w:pPr>
        <w:spacing w:line="240" w:lineRule="auto"/>
        <w:ind w:left="720"/>
        <w:rPr>
          <w:rFonts w:asciiTheme="majorHAnsi" w:hAnsiTheme="majorHAnsi"/>
        </w:rPr>
      </w:pPr>
      <w:r>
        <w:rPr>
          <w:rFonts w:asciiTheme="majorHAnsi" w:hAnsiTheme="majorHAnsi"/>
          <w:b/>
        </w:rPr>
        <w:t>No</w:t>
      </w:r>
      <w:r w:rsidR="00453062">
        <w:rPr>
          <w:rFonts w:asciiTheme="majorHAnsi" w:hAnsiTheme="majorHAnsi"/>
        </w:rPr>
        <w:t xml:space="preserve"> changes in either global environmental objectives of development objectives between the start and finish of this phase of SDS-SEA. </w:t>
      </w:r>
    </w:p>
    <w:p w14:paraId="206B54C3" w14:textId="77777777" w:rsidR="00DD5627" w:rsidRPr="00E9083B" w:rsidRDefault="00DD5627" w:rsidP="00614163">
      <w:pPr>
        <w:rPr>
          <w:rFonts w:asciiTheme="majorHAnsi" w:hAnsiTheme="majorHAnsi"/>
        </w:rPr>
      </w:pPr>
    </w:p>
    <w:p w14:paraId="509F88E4" w14:textId="77777777" w:rsidR="0098302E" w:rsidRPr="00E9083B" w:rsidRDefault="00DA4BF4" w:rsidP="00DA4BF4">
      <w:pPr>
        <w:pStyle w:val="Heading1"/>
      </w:pPr>
      <w:r w:rsidRPr="00E9083B">
        <w:t>4. GEF EO a</w:t>
      </w:r>
      <w:r w:rsidR="00CF085D" w:rsidRPr="00E9083B">
        <w:t>ssessment of Outcomes and Sustainability</w:t>
      </w:r>
    </w:p>
    <w:p w14:paraId="13537AAF" w14:textId="77777777" w:rsidR="00193F9A" w:rsidRPr="00E9083B" w:rsidRDefault="00C3400F" w:rsidP="00565E2C">
      <w:pPr>
        <w:rPr>
          <w:rFonts w:asciiTheme="majorHAnsi" w:hAnsiTheme="majorHAnsi"/>
        </w:rPr>
      </w:pPr>
      <w:r w:rsidRPr="00E9083B">
        <w:rPr>
          <w:rFonts w:asciiTheme="majorHAnsi" w:hAnsiTheme="majorHAnsi"/>
        </w:rPr>
        <w:t xml:space="preserve">Please refer to the GEF Terminal Evaluation Review Guidelines for detail on the criteria for ratings. </w:t>
      </w:r>
    </w:p>
    <w:p w14:paraId="0496359D" w14:textId="77777777" w:rsidR="00733785" w:rsidRPr="00E9083B" w:rsidRDefault="00565E2C" w:rsidP="00733785">
      <w:pPr>
        <w:pStyle w:val="Heading2"/>
      </w:pPr>
      <w:r w:rsidRPr="00E9083B">
        <w:t>Relevance can receive either a Satisfactory</w:t>
      </w:r>
      <w:r w:rsidR="00C3400F" w:rsidRPr="00E9083B">
        <w:t xml:space="preserve"> or Unsatisfactory rating. For Effectiveness and C</w:t>
      </w:r>
      <w:r w:rsidRPr="00E9083B">
        <w:t xml:space="preserve">ost efficiency, a six point </w:t>
      </w:r>
      <w:r w:rsidR="008B3045" w:rsidRPr="00E9083B">
        <w:t xml:space="preserve">rating </w:t>
      </w:r>
      <w:r w:rsidRPr="00E9083B">
        <w:t>scale is used (Highly Satisfactory</w:t>
      </w:r>
      <w:r w:rsidR="00EA038E" w:rsidRPr="00E9083B">
        <w:t xml:space="preserve"> to Highly Unsati</w:t>
      </w:r>
      <w:r w:rsidR="00664094" w:rsidRPr="00E9083B">
        <w:t xml:space="preserve">sfactory), or Unable to Assess. </w:t>
      </w:r>
      <w:r w:rsidR="00733785" w:rsidRPr="00E9083B">
        <w:t>Sustainability ratings are assessed on a four-point scale: Likely=no or negligible risk; Moderately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119377B1" w14:textId="77777777" w:rsidR="00147D16" w:rsidRPr="00E9083B" w:rsidRDefault="00733785" w:rsidP="004E671E">
      <w:pPr>
        <w:rPr>
          <w:rFonts w:asciiTheme="majorHAnsi" w:hAnsiTheme="majorHAnsi"/>
        </w:rPr>
      </w:pPr>
      <w:r w:rsidRPr="00E9083B">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A6564E" w:rsidRPr="00E9083B" w14:paraId="2F5202D2" w14:textId="77777777" w:rsidTr="00733785">
        <w:tc>
          <w:tcPr>
            <w:tcW w:w="4788" w:type="dxa"/>
          </w:tcPr>
          <w:p w14:paraId="616388DB" w14:textId="77777777" w:rsidR="00A6564E" w:rsidRPr="00E9083B" w:rsidRDefault="00733785" w:rsidP="004E671E">
            <w:pPr>
              <w:pStyle w:val="Heading3"/>
              <w:outlineLvl w:val="2"/>
            </w:pPr>
            <w:r w:rsidRPr="00E9083B">
              <w:rPr>
                <w:b w:val="0"/>
              </w:rPr>
              <w:t>4.1</w:t>
            </w:r>
            <w:r w:rsidRPr="00E9083B">
              <w:t xml:space="preserve"> Relevance </w:t>
            </w:r>
          </w:p>
        </w:tc>
        <w:tc>
          <w:tcPr>
            <w:tcW w:w="4788" w:type="dxa"/>
            <w:vAlign w:val="center"/>
          </w:tcPr>
          <w:p w14:paraId="4286254E" w14:textId="6DCCFFA3" w:rsidR="00A6564E" w:rsidRPr="00E9083B" w:rsidRDefault="00A6564E" w:rsidP="00733785">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80051F">
              <w:rPr>
                <w:rFonts w:asciiTheme="majorHAnsi" w:hAnsiTheme="majorHAnsi"/>
                <w:b/>
              </w:rPr>
              <w:t>Satisfactory</w:t>
            </w:r>
          </w:p>
        </w:tc>
      </w:tr>
    </w:tbl>
    <w:p w14:paraId="4181403D" w14:textId="77777777" w:rsidR="00DD5627" w:rsidRPr="0080051F" w:rsidRDefault="00DD5627" w:rsidP="00DD5627">
      <w:pPr>
        <w:autoSpaceDE w:val="0"/>
        <w:autoSpaceDN w:val="0"/>
        <w:adjustRightInd w:val="0"/>
        <w:spacing w:after="0" w:line="240" w:lineRule="auto"/>
        <w:rPr>
          <w:rFonts w:ascii="Cambria" w:hAnsi="Cambria" w:cs="Times New Roman"/>
        </w:rPr>
      </w:pPr>
    </w:p>
    <w:p w14:paraId="1B29FD15" w14:textId="5AAA7A12" w:rsidR="00FB047F" w:rsidRDefault="00FB047F" w:rsidP="00FB047F">
      <w:pPr>
        <w:spacing w:after="0" w:line="240" w:lineRule="auto"/>
        <w:ind w:left="720"/>
        <w:jc w:val="both"/>
        <w:rPr>
          <w:rFonts w:ascii="Cambria" w:hAnsi="Cambria"/>
        </w:rPr>
      </w:pPr>
      <w:r w:rsidRPr="0080051F">
        <w:rPr>
          <w:rFonts w:ascii="Cambria" w:hAnsi="Cambria"/>
        </w:rPr>
        <w:t xml:space="preserve">The Project contributes to the key indicators of the GEF International Waters Strategic Objective by fostering the development and implementation of required policy reforms, institutional arrangements, core partnerships and capacities in support of SDS-SEA implementation. The project contributes to International Waters Strategic Programmes of (a) Depletion of coastal and marine fish stocks and associated biological diversity, and (b) Nutrient over-enrichment and oxygen depletion from land-based pollution of coastal waters in Large Marine Ecosystems.  </w:t>
      </w:r>
      <w:r w:rsidR="00A8098C" w:rsidRPr="0080051F">
        <w:rPr>
          <w:rFonts w:ascii="Cambria" w:hAnsi="Cambria"/>
        </w:rPr>
        <w:t>(TE pg</w:t>
      </w:r>
      <w:r w:rsidR="0067426F">
        <w:rPr>
          <w:rFonts w:ascii="Cambria" w:hAnsi="Cambria"/>
        </w:rPr>
        <w:t>.</w:t>
      </w:r>
      <w:r w:rsidR="00A8098C" w:rsidRPr="0080051F">
        <w:rPr>
          <w:rFonts w:ascii="Cambria" w:hAnsi="Cambria"/>
        </w:rPr>
        <w:t xml:space="preserve"> 8)</w:t>
      </w:r>
    </w:p>
    <w:p w14:paraId="3B7FB305" w14:textId="77777777" w:rsidR="0009654E" w:rsidRDefault="0009654E" w:rsidP="00FB047F">
      <w:pPr>
        <w:spacing w:after="0" w:line="240" w:lineRule="auto"/>
        <w:ind w:left="720"/>
        <w:jc w:val="both"/>
        <w:rPr>
          <w:rFonts w:ascii="Cambria" w:hAnsi="Cambria"/>
        </w:rPr>
      </w:pPr>
    </w:p>
    <w:p w14:paraId="2D0393FE" w14:textId="5919E5F2" w:rsidR="0009654E" w:rsidRPr="0080051F" w:rsidRDefault="0009654E" w:rsidP="00FB047F">
      <w:pPr>
        <w:spacing w:after="0" w:line="240" w:lineRule="auto"/>
        <w:ind w:left="720"/>
        <w:jc w:val="both"/>
        <w:rPr>
          <w:rFonts w:ascii="Cambria" w:hAnsi="Cambria"/>
        </w:rPr>
      </w:pPr>
      <w:r>
        <w:rPr>
          <w:rFonts w:ascii="Cambria" w:hAnsi="Cambria"/>
        </w:rPr>
        <w:t>The project is also relevant to country priorities.</w:t>
      </w:r>
      <w:r w:rsidRPr="0009654E">
        <w:rPr>
          <w:rFonts w:ascii="Cambria" w:hAnsi="Cambria"/>
        </w:rPr>
        <w:t xml:space="preserve"> In Cambodia, China, the Philippines, Thailand and Vietnam stakeholders were clear in expressing that ICM, a principal objective of the Project, is being rapidly integrated into local level activities and national level policy.</w:t>
      </w:r>
      <w:r>
        <w:rPr>
          <w:rFonts w:ascii="Cambria" w:hAnsi="Cambria"/>
        </w:rPr>
        <w:t xml:space="preserve"> (TE pg</w:t>
      </w:r>
      <w:r w:rsidR="0067426F">
        <w:rPr>
          <w:rFonts w:ascii="Cambria" w:hAnsi="Cambria"/>
        </w:rPr>
        <w:t>.</w:t>
      </w:r>
      <w:r>
        <w:rPr>
          <w:rFonts w:ascii="Cambria" w:hAnsi="Cambria"/>
        </w:rPr>
        <w:t xml:space="preserve"> 45)</w:t>
      </w:r>
    </w:p>
    <w:p w14:paraId="78D5406B" w14:textId="77777777" w:rsidR="00081293" w:rsidRPr="00E9083B" w:rsidRDefault="00081293" w:rsidP="00AD7C27">
      <w:pPr>
        <w:rPr>
          <w:rFonts w:asciiTheme="majorHAnsi" w:hAnsiTheme="majorHAnsi"/>
        </w:rPr>
      </w:pPr>
    </w:p>
    <w:tbl>
      <w:tblPr>
        <w:tblStyle w:val="TableGrid"/>
        <w:tblW w:w="0" w:type="auto"/>
        <w:tblLook w:val="04A0" w:firstRow="1" w:lastRow="0" w:firstColumn="1" w:lastColumn="0" w:noHBand="0" w:noVBand="1"/>
      </w:tblPr>
      <w:tblGrid>
        <w:gridCol w:w="4788"/>
        <w:gridCol w:w="4788"/>
      </w:tblGrid>
      <w:tr w:rsidR="00733785" w:rsidRPr="00E9083B" w14:paraId="5055CD6D" w14:textId="77777777" w:rsidTr="0080051F">
        <w:tc>
          <w:tcPr>
            <w:tcW w:w="4788" w:type="dxa"/>
          </w:tcPr>
          <w:p w14:paraId="28153E5C" w14:textId="77777777" w:rsidR="00733785" w:rsidRPr="00E9083B" w:rsidRDefault="00733785" w:rsidP="004E671E">
            <w:pPr>
              <w:pStyle w:val="Heading3"/>
              <w:outlineLvl w:val="2"/>
            </w:pPr>
            <w:r w:rsidRPr="00E9083B">
              <w:rPr>
                <w:b w:val="0"/>
              </w:rPr>
              <w:t>4.2</w:t>
            </w:r>
            <w:r w:rsidRPr="00E9083B">
              <w:t xml:space="preserve"> Effectiveness </w:t>
            </w:r>
          </w:p>
        </w:tc>
        <w:tc>
          <w:tcPr>
            <w:tcW w:w="4788" w:type="dxa"/>
            <w:vAlign w:val="center"/>
          </w:tcPr>
          <w:p w14:paraId="52062211" w14:textId="040613C1" w:rsidR="00733785" w:rsidRPr="00E9083B" w:rsidRDefault="00733785" w:rsidP="0080051F">
            <w:pPr>
              <w:rPr>
                <w:rFonts w:asciiTheme="majorHAnsi" w:hAnsiTheme="majorHAnsi"/>
              </w:rPr>
            </w:pPr>
            <w:r w:rsidRPr="00E9083B">
              <w:rPr>
                <w:rFonts w:asciiTheme="majorHAnsi" w:hAnsiTheme="majorHAnsi"/>
              </w:rPr>
              <w:t>Rating:</w:t>
            </w:r>
            <w:r w:rsidR="00911078">
              <w:rPr>
                <w:rFonts w:asciiTheme="majorHAnsi" w:hAnsiTheme="majorHAnsi"/>
                <w:b/>
              </w:rPr>
              <w:t xml:space="preserve"> Highly Satisfactory</w:t>
            </w:r>
          </w:p>
        </w:tc>
      </w:tr>
    </w:tbl>
    <w:p w14:paraId="26B07B2C" w14:textId="77777777" w:rsidR="00453062" w:rsidRDefault="00453062" w:rsidP="006714FC">
      <w:pPr>
        <w:spacing w:line="240" w:lineRule="auto"/>
        <w:ind w:firstLine="720"/>
        <w:rPr>
          <w:rFonts w:asciiTheme="majorHAnsi" w:hAnsiTheme="majorHAnsi"/>
        </w:rPr>
      </w:pPr>
    </w:p>
    <w:p w14:paraId="53A5EEE8" w14:textId="34ABB215" w:rsidR="00C714C6" w:rsidRPr="00E9083B" w:rsidRDefault="00C714C6" w:rsidP="006714FC">
      <w:pPr>
        <w:spacing w:line="240" w:lineRule="auto"/>
        <w:ind w:firstLine="720"/>
        <w:rPr>
          <w:rFonts w:asciiTheme="majorHAnsi" w:hAnsiTheme="majorHAnsi"/>
        </w:rPr>
      </w:pPr>
      <w:r>
        <w:rPr>
          <w:rFonts w:asciiTheme="majorHAnsi" w:hAnsiTheme="majorHAnsi"/>
        </w:rPr>
        <w:t>The TE gives this project an overall rating of “Highly Satisfactory”</w:t>
      </w:r>
    </w:p>
    <w:p w14:paraId="32B8CD80" w14:textId="59EB99A5" w:rsidR="00414563" w:rsidRDefault="00414563" w:rsidP="00414563">
      <w:pPr>
        <w:spacing w:line="240" w:lineRule="auto"/>
        <w:ind w:left="720"/>
        <w:rPr>
          <w:rFonts w:asciiTheme="majorHAnsi" w:hAnsiTheme="majorHAnsi"/>
        </w:rPr>
      </w:pPr>
      <w:r>
        <w:rPr>
          <w:rFonts w:asciiTheme="majorHAnsi" w:hAnsiTheme="majorHAnsi"/>
        </w:rPr>
        <w:t xml:space="preserve">The TE states that the </w:t>
      </w:r>
      <w:r w:rsidRPr="00414563">
        <w:rPr>
          <w:rFonts w:asciiTheme="majorHAnsi" w:hAnsiTheme="majorHAnsi"/>
        </w:rPr>
        <w:t>SDS SEA project has been successful in addressing many of the GEF-4 Objectives for the International Waters focal area. The principle activity has been to introduce integrated coastal management (ICM) to the participating countries in the Seas of East Asia region in an attempt to resolve conflicts in the use of coastal waters, to reduce pollution, to productively involve stakeholders at international, regional, national, and local levels, and implement more effective fisheries management.</w:t>
      </w:r>
    </w:p>
    <w:p w14:paraId="662334BF" w14:textId="666275DB" w:rsidR="006838A8" w:rsidRDefault="006838A8" w:rsidP="00414563">
      <w:pPr>
        <w:spacing w:line="240" w:lineRule="auto"/>
        <w:ind w:left="720"/>
        <w:rPr>
          <w:rFonts w:asciiTheme="majorHAnsi" w:hAnsiTheme="majorHAnsi"/>
        </w:rPr>
      </w:pPr>
      <w:r>
        <w:rPr>
          <w:rFonts w:asciiTheme="majorHAnsi" w:hAnsiTheme="majorHAnsi"/>
        </w:rPr>
        <w:t xml:space="preserve">The TE lists the </w:t>
      </w:r>
      <w:r w:rsidR="0009654E">
        <w:rPr>
          <w:rFonts w:asciiTheme="majorHAnsi" w:hAnsiTheme="majorHAnsi"/>
        </w:rPr>
        <w:t xml:space="preserve">specific </w:t>
      </w:r>
      <w:r>
        <w:rPr>
          <w:rFonts w:asciiTheme="majorHAnsi" w:hAnsiTheme="majorHAnsi"/>
        </w:rPr>
        <w:t>project components, outcomes and outputs and rates almost all as either highly satisfactory or satisfactory</w:t>
      </w:r>
      <w:r w:rsidR="0009654E">
        <w:rPr>
          <w:rFonts w:asciiTheme="majorHAnsi" w:hAnsiTheme="majorHAnsi"/>
        </w:rPr>
        <w:t xml:space="preserve"> (TE pg</w:t>
      </w:r>
      <w:r w:rsidR="00963578">
        <w:rPr>
          <w:rFonts w:asciiTheme="majorHAnsi" w:hAnsiTheme="majorHAnsi"/>
        </w:rPr>
        <w:t>.</w:t>
      </w:r>
      <w:r w:rsidR="0009654E">
        <w:rPr>
          <w:rFonts w:asciiTheme="majorHAnsi" w:hAnsiTheme="majorHAnsi"/>
        </w:rPr>
        <w:t xml:space="preserve"> 16-19).  There are 7 main components identified</w:t>
      </w:r>
      <w:r w:rsidR="00007F2D">
        <w:rPr>
          <w:rFonts w:asciiTheme="majorHAnsi" w:hAnsiTheme="majorHAnsi"/>
        </w:rPr>
        <w:t>: 3 have been entirely completed, and 4 have been mostly achieved. (TE pg</w:t>
      </w:r>
      <w:r w:rsidR="005C1FF3">
        <w:rPr>
          <w:rFonts w:asciiTheme="majorHAnsi" w:hAnsiTheme="majorHAnsi"/>
        </w:rPr>
        <w:t>.</w:t>
      </w:r>
      <w:r w:rsidR="00007F2D">
        <w:rPr>
          <w:rFonts w:asciiTheme="majorHAnsi" w:hAnsiTheme="majorHAnsi"/>
        </w:rPr>
        <w:t xml:space="preserve"> 48-49)  51 out of the scheduled 64 outputs were achieved by October 2012, and an additional 8 were scheduled to be completed by the end of project (the TE was completed 7 months before project closure).</w:t>
      </w:r>
    </w:p>
    <w:p w14:paraId="4B7E876C" w14:textId="70A0EA33" w:rsidR="00C70BE2" w:rsidRPr="00E9083B" w:rsidRDefault="00C70BE2" w:rsidP="00C70BE2">
      <w:pPr>
        <w:spacing w:line="240" w:lineRule="auto"/>
        <w:ind w:left="720"/>
        <w:rPr>
          <w:rFonts w:asciiTheme="majorHAnsi" w:hAnsiTheme="majorHAnsi"/>
        </w:rPr>
      </w:pPr>
      <w:r>
        <w:rPr>
          <w:rFonts w:asciiTheme="majorHAnsi" w:hAnsiTheme="majorHAnsi"/>
        </w:rPr>
        <w:t xml:space="preserve">The TE describes that </w:t>
      </w:r>
      <w:r w:rsidRPr="00C70BE2">
        <w:rPr>
          <w:rFonts w:asciiTheme="majorHAnsi" w:hAnsiTheme="majorHAnsi"/>
        </w:rPr>
        <w:t>PEMSEA has</w:t>
      </w:r>
      <w:r>
        <w:rPr>
          <w:rFonts w:asciiTheme="majorHAnsi" w:hAnsiTheme="majorHAnsi"/>
        </w:rPr>
        <w:t xml:space="preserve"> successfully </w:t>
      </w:r>
      <w:r w:rsidRPr="00C70BE2">
        <w:rPr>
          <w:rFonts w:asciiTheme="majorHAnsi" w:hAnsiTheme="majorHAnsi"/>
        </w:rPr>
        <w:t xml:space="preserve">initiated projects in the most polluted, over-populated and degraded areas in Asia, </w:t>
      </w:r>
      <w:r>
        <w:rPr>
          <w:rFonts w:asciiTheme="majorHAnsi" w:hAnsiTheme="majorHAnsi"/>
        </w:rPr>
        <w:t xml:space="preserve">including </w:t>
      </w:r>
      <w:r w:rsidRPr="00C70BE2">
        <w:rPr>
          <w:rFonts w:asciiTheme="majorHAnsi" w:hAnsiTheme="majorHAnsi"/>
        </w:rPr>
        <w:t>Bohai S</w:t>
      </w:r>
      <w:r>
        <w:rPr>
          <w:rFonts w:asciiTheme="majorHAnsi" w:hAnsiTheme="majorHAnsi"/>
        </w:rPr>
        <w:t>ea, Jakarta Bay and Manila Bay. These are</w:t>
      </w:r>
      <w:r w:rsidRPr="00C70BE2">
        <w:rPr>
          <w:rFonts w:asciiTheme="majorHAnsi" w:hAnsiTheme="majorHAnsi"/>
        </w:rPr>
        <w:t xml:space="preserve"> tasks that few organizations are willing to attempt. </w:t>
      </w:r>
      <w:r>
        <w:rPr>
          <w:rFonts w:asciiTheme="majorHAnsi" w:hAnsiTheme="majorHAnsi"/>
        </w:rPr>
        <w:t xml:space="preserve">  (TE pg</w:t>
      </w:r>
      <w:r w:rsidR="00963578">
        <w:rPr>
          <w:rFonts w:asciiTheme="majorHAnsi" w:hAnsiTheme="majorHAnsi"/>
        </w:rPr>
        <w:t>.</w:t>
      </w:r>
      <w:r>
        <w:rPr>
          <w:rFonts w:asciiTheme="majorHAnsi" w:hAnsiTheme="majorHAnsi"/>
        </w:rPr>
        <w:t xml:space="preserve"> 56)  It seems that </w:t>
      </w:r>
      <w:r w:rsidRPr="00C70BE2">
        <w:rPr>
          <w:rFonts w:asciiTheme="majorHAnsi" w:hAnsiTheme="majorHAnsi"/>
        </w:rPr>
        <w:t xml:space="preserve">project outcomes </w:t>
      </w:r>
      <w:r>
        <w:rPr>
          <w:rFonts w:asciiTheme="majorHAnsi" w:hAnsiTheme="majorHAnsi"/>
        </w:rPr>
        <w:t xml:space="preserve">are </w:t>
      </w:r>
      <w:r w:rsidRPr="00C70BE2">
        <w:rPr>
          <w:rFonts w:asciiTheme="majorHAnsi" w:hAnsiTheme="majorHAnsi"/>
        </w:rPr>
        <w:t>commensurate with the expected outcomes</w:t>
      </w:r>
      <w:r>
        <w:rPr>
          <w:rFonts w:asciiTheme="majorHAnsi" w:hAnsiTheme="majorHAnsi"/>
        </w:rPr>
        <w:t>, and these adequately outcomes address the problem of marine ecosystem degradation in the seas of South East Asia.</w:t>
      </w:r>
    </w:p>
    <w:tbl>
      <w:tblPr>
        <w:tblStyle w:val="TableGrid"/>
        <w:tblW w:w="0" w:type="auto"/>
        <w:tblLook w:val="04A0" w:firstRow="1" w:lastRow="0" w:firstColumn="1" w:lastColumn="0" w:noHBand="0" w:noVBand="1"/>
      </w:tblPr>
      <w:tblGrid>
        <w:gridCol w:w="4788"/>
        <w:gridCol w:w="4788"/>
      </w:tblGrid>
      <w:tr w:rsidR="00733785" w:rsidRPr="00E9083B" w14:paraId="093012F9" w14:textId="77777777" w:rsidTr="0080051F">
        <w:tc>
          <w:tcPr>
            <w:tcW w:w="4788" w:type="dxa"/>
          </w:tcPr>
          <w:p w14:paraId="5BFA70F6" w14:textId="77777777" w:rsidR="00733785" w:rsidRPr="00E9083B" w:rsidRDefault="00733785" w:rsidP="004E671E">
            <w:pPr>
              <w:pStyle w:val="Heading3"/>
              <w:outlineLvl w:val="2"/>
            </w:pPr>
            <w:r w:rsidRPr="00E9083B">
              <w:rPr>
                <w:b w:val="0"/>
              </w:rPr>
              <w:t>4.3</w:t>
            </w:r>
            <w:r w:rsidRPr="00E9083B">
              <w:t xml:space="preserve"> Efficiency</w:t>
            </w:r>
          </w:p>
        </w:tc>
        <w:tc>
          <w:tcPr>
            <w:tcW w:w="4788" w:type="dxa"/>
            <w:vAlign w:val="center"/>
          </w:tcPr>
          <w:p w14:paraId="31CC6449" w14:textId="73881B06" w:rsidR="00733785" w:rsidRPr="00E9083B" w:rsidRDefault="00733785" w:rsidP="000A69A9">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0A69A9">
              <w:rPr>
                <w:rFonts w:asciiTheme="majorHAnsi" w:hAnsiTheme="majorHAnsi"/>
                <w:b/>
              </w:rPr>
              <w:t>Satisfactory</w:t>
            </w:r>
          </w:p>
        </w:tc>
      </w:tr>
    </w:tbl>
    <w:p w14:paraId="6C0AF9EC" w14:textId="77777777" w:rsidR="000A69A9" w:rsidRDefault="000A69A9" w:rsidP="00BA7E0E">
      <w:pPr>
        <w:spacing w:line="240" w:lineRule="auto"/>
        <w:ind w:left="720"/>
        <w:rPr>
          <w:rFonts w:asciiTheme="majorHAnsi" w:hAnsiTheme="majorHAnsi"/>
        </w:rPr>
      </w:pPr>
    </w:p>
    <w:p w14:paraId="1D2E615A" w14:textId="2667F3C1" w:rsidR="00BA7E0E" w:rsidRDefault="0015434B" w:rsidP="00BA7E0E">
      <w:pPr>
        <w:spacing w:line="240" w:lineRule="auto"/>
        <w:ind w:left="720"/>
        <w:rPr>
          <w:rFonts w:asciiTheme="majorHAnsi" w:hAnsiTheme="majorHAnsi"/>
        </w:rPr>
      </w:pPr>
      <w:r>
        <w:rPr>
          <w:rFonts w:asciiTheme="majorHAnsi" w:hAnsiTheme="majorHAnsi"/>
        </w:rPr>
        <w:t>The TE concludes “</w:t>
      </w:r>
      <w:r w:rsidR="00BA7E0E" w:rsidRPr="00BA7E0E">
        <w:rPr>
          <w:rFonts w:asciiTheme="majorHAnsi" w:hAnsiTheme="majorHAnsi"/>
        </w:rPr>
        <w:t>the ratio of GEF funds to that of contributions from non-GEF sources demonstrates substantial efficiencies deriving from the GEF investment. Levels of country and other co-finance have substantially exceeded levels described in the Project Document. GEF finance to co-finance has often exceeded a ratio of 1:10. The result has been the leveraging of significant on-the-ground achievement of Outputs at relatively low GEF direct investment.</w:t>
      </w:r>
      <w:r>
        <w:rPr>
          <w:rFonts w:asciiTheme="majorHAnsi" w:hAnsiTheme="majorHAnsi"/>
        </w:rPr>
        <w:t>”</w:t>
      </w:r>
      <w:r w:rsidR="00BA7E0E">
        <w:rPr>
          <w:rFonts w:asciiTheme="majorHAnsi" w:hAnsiTheme="majorHAnsi"/>
        </w:rPr>
        <w:t xml:space="preserve"> (TE </w:t>
      </w:r>
      <w:r w:rsidR="00963578">
        <w:rPr>
          <w:rFonts w:asciiTheme="majorHAnsi" w:hAnsiTheme="majorHAnsi"/>
        </w:rPr>
        <w:t>pg</w:t>
      </w:r>
      <w:r w:rsidR="00BA7E0E">
        <w:rPr>
          <w:rFonts w:asciiTheme="majorHAnsi" w:hAnsiTheme="majorHAnsi"/>
        </w:rPr>
        <w:t>. 11)</w:t>
      </w:r>
      <w:r w:rsidR="00881977">
        <w:rPr>
          <w:rFonts w:asciiTheme="majorHAnsi" w:hAnsiTheme="majorHAnsi"/>
        </w:rPr>
        <w:t xml:space="preserve">  The TE rates the project’s cost effectiveness as “highly satisfactory” (TE pg.  19)</w:t>
      </w:r>
    </w:p>
    <w:p w14:paraId="565D3F3E" w14:textId="5671EFD7" w:rsidR="000A69A9" w:rsidRPr="00E9083B" w:rsidRDefault="000A69A9" w:rsidP="00BA7E0E">
      <w:pPr>
        <w:spacing w:line="240" w:lineRule="auto"/>
        <w:ind w:left="720"/>
        <w:rPr>
          <w:rFonts w:asciiTheme="majorHAnsi" w:hAnsiTheme="majorHAnsi"/>
        </w:rPr>
      </w:pPr>
      <w:r>
        <w:rPr>
          <w:rFonts w:asciiTheme="majorHAnsi" w:hAnsiTheme="majorHAnsi"/>
        </w:rPr>
        <w:t>However, project implementation was at times delayed due to cumbersome administrative procedures on the part of UNDP and UNOPS, and due to a lack of clear communication between PEMSEA and UNOPS.  This decreased the efficiency of the project, but not to the detriment of project achievements.</w:t>
      </w:r>
    </w:p>
    <w:p w14:paraId="26D43BB9" w14:textId="77777777" w:rsidR="006714FC" w:rsidRPr="00E9083B" w:rsidRDefault="006714FC" w:rsidP="00FC2A0E">
      <w:pPr>
        <w:rPr>
          <w:rFonts w:asciiTheme="majorHAnsi" w:hAnsiTheme="majorHAnsi"/>
        </w:rPr>
      </w:pPr>
    </w:p>
    <w:tbl>
      <w:tblPr>
        <w:tblStyle w:val="TableGrid"/>
        <w:tblW w:w="0" w:type="auto"/>
        <w:tblLook w:val="04A0" w:firstRow="1" w:lastRow="0" w:firstColumn="1" w:lastColumn="0" w:noHBand="0" w:noVBand="1"/>
      </w:tblPr>
      <w:tblGrid>
        <w:gridCol w:w="4788"/>
        <w:gridCol w:w="4788"/>
      </w:tblGrid>
      <w:tr w:rsidR="00733785" w:rsidRPr="00E9083B" w14:paraId="3B38CC88" w14:textId="77777777" w:rsidTr="0080051F">
        <w:tc>
          <w:tcPr>
            <w:tcW w:w="4788" w:type="dxa"/>
          </w:tcPr>
          <w:p w14:paraId="3703E679" w14:textId="77777777" w:rsidR="00733785" w:rsidRPr="00E9083B" w:rsidRDefault="00733785" w:rsidP="004E671E">
            <w:pPr>
              <w:pStyle w:val="Heading3"/>
              <w:outlineLvl w:val="2"/>
            </w:pPr>
            <w:r w:rsidRPr="00E9083B">
              <w:rPr>
                <w:b w:val="0"/>
              </w:rPr>
              <w:t>4.4</w:t>
            </w:r>
            <w:r w:rsidRPr="00E9083B">
              <w:t xml:space="preserve"> Sustainability</w:t>
            </w:r>
          </w:p>
        </w:tc>
        <w:tc>
          <w:tcPr>
            <w:tcW w:w="4788" w:type="dxa"/>
            <w:vAlign w:val="center"/>
          </w:tcPr>
          <w:p w14:paraId="2BAD87A0" w14:textId="254B8DC5" w:rsidR="00733785" w:rsidRPr="00E9083B" w:rsidRDefault="00733785" w:rsidP="0080051F">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3919FC" w:rsidRPr="005C1FF3">
              <w:rPr>
                <w:rFonts w:asciiTheme="majorHAnsi" w:hAnsiTheme="majorHAnsi"/>
                <w:b/>
              </w:rPr>
              <w:t>Moderately</w:t>
            </w:r>
            <w:r w:rsidR="003919FC">
              <w:rPr>
                <w:rFonts w:asciiTheme="majorHAnsi" w:hAnsiTheme="majorHAnsi"/>
              </w:rPr>
              <w:t xml:space="preserve"> </w:t>
            </w:r>
            <w:r w:rsidR="00007F2D">
              <w:rPr>
                <w:rFonts w:asciiTheme="majorHAnsi" w:hAnsiTheme="majorHAnsi"/>
                <w:b/>
              </w:rPr>
              <w:t>Likely</w:t>
            </w:r>
          </w:p>
        </w:tc>
      </w:tr>
    </w:tbl>
    <w:p w14:paraId="4BFC7A9F" w14:textId="77777777" w:rsidR="00007F2D" w:rsidRDefault="00007F2D" w:rsidP="003821A1">
      <w:pPr>
        <w:spacing w:line="240" w:lineRule="auto"/>
        <w:ind w:left="720"/>
        <w:rPr>
          <w:rFonts w:asciiTheme="majorHAnsi" w:hAnsiTheme="majorHAnsi"/>
        </w:rPr>
      </w:pPr>
    </w:p>
    <w:p w14:paraId="255D78B1" w14:textId="2C69B5F2" w:rsidR="00FC2A0E" w:rsidRDefault="003821A1" w:rsidP="003821A1">
      <w:pPr>
        <w:spacing w:line="240" w:lineRule="auto"/>
        <w:ind w:left="720"/>
        <w:rPr>
          <w:rFonts w:asciiTheme="majorHAnsi" w:hAnsiTheme="majorHAnsi"/>
        </w:rPr>
      </w:pPr>
      <w:r>
        <w:rPr>
          <w:rFonts w:asciiTheme="majorHAnsi" w:hAnsiTheme="majorHAnsi"/>
        </w:rPr>
        <w:t xml:space="preserve">The TE </w:t>
      </w:r>
      <w:r w:rsidR="006D7A3F">
        <w:rPr>
          <w:rFonts w:asciiTheme="majorHAnsi" w:hAnsiTheme="majorHAnsi"/>
        </w:rPr>
        <w:t>states</w:t>
      </w:r>
      <w:r>
        <w:rPr>
          <w:rFonts w:asciiTheme="majorHAnsi" w:hAnsiTheme="majorHAnsi"/>
        </w:rPr>
        <w:t xml:space="preserve"> “…</w:t>
      </w:r>
      <w:r w:rsidRPr="003821A1">
        <w:rPr>
          <w:rFonts w:asciiTheme="majorHAnsi" w:hAnsiTheme="majorHAnsi"/>
        </w:rPr>
        <w:t>many of the national and local initiatives have reached a point where they will be sustainable regardless of PEMSEA continued involvement. However, the true test of PEMSEA sustainability will come during the sustainability phase of the Project, the period 2013-2017 when countries will have to decide whether and how they will ensure the continued financial and other support that will be necessary to PEMSEA’s continuation as a legal entity</w:t>
      </w:r>
      <w:r>
        <w:rPr>
          <w:rFonts w:asciiTheme="majorHAnsi" w:hAnsiTheme="majorHAnsi"/>
        </w:rPr>
        <w:t>. “ (TE pg. 11)</w:t>
      </w:r>
      <w:bookmarkStart w:id="0" w:name="_GoBack"/>
      <w:bookmarkEnd w:id="0"/>
    </w:p>
    <w:p w14:paraId="19884C9A" w14:textId="3957291C" w:rsidR="00007F2D" w:rsidRDefault="00007F2D" w:rsidP="00007F2D">
      <w:pPr>
        <w:spacing w:line="240" w:lineRule="auto"/>
        <w:ind w:left="720"/>
        <w:rPr>
          <w:rFonts w:asciiTheme="majorHAnsi" w:hAnsiTheme="majorHAnsi"/>
        </w:rPr>
      </w:pPr>
      <w:r>
        <w:rPr>
          <w:rFonts w:asciiTheme="majorHAnsi" w:hAnsiTheme="majorHAnsi"/>
        </w:rPr>
        <w:t xml:space="preserve">It is likely that the achievements of this project will continue into the future.  PEMSEA will continue to operate after GEF and other multilateral donor funds have ended, as it is now a legal entity and counts with the </w:t>
      </w:r>
      <w:r w:rsidR="005C1FF3">
        <w:rPr>
          <w:rFonts w:asciiTheme="majorHAnsi" w:hAnsiTheme="majorHAnsi"/>
        </w:rPr>
        <w:t xml:space="preserve">expressed and demonstrated </w:t>
      </w:r>
      <w:r>
        <w:rPr>
          <w:rFonts w:asciiTheme="majorHAnsi" w:hAnsiTheme="majorHAnsi"/>
        </w:rPr>
        <w:t>of many regional governments.</w:t>
      </w:r>
    </w:p>
    <w:p w14:paraId="2027A048" w14:textId="4FD9DD20" w:rsidR="005A10D1" w:rsidRPr="00E9083B" w:rsidRDefault="005A10D1" w:rsidP="00007F2D">
      <w:pPr>
        <w:spacing w:line="240" w:lineRule="auto"/>
        <w:ind w:left="720"/>
        <w:rPr>
          <w:rFonts w:asciiTheme="majorHAnsi" w:hAnsiTheme="majorHAnsi"/>
        </w:rPr>
      </w:pPr>
      <w:r>
        <w:rPr>
          <w:rFonts w:asciiTheme="majorHAnsi" w:hAnsiTheme="majorHAnsi"/>
        </w:rPr>
        <w:t>Because financing for continuation of PEMSEA as a legal entity is not assured at this point, sustainability is rated as moderately likely.</w:t>
      </w:r>
    </w:p>
    <w:p w14:paraId="474B4A3C" w14:textId="77777777" w:rsidR="00D91731" w:rsidRPr="00E9083B" w:rsidRDefault="00AC439C" w:rsidP="00AC439C">
      <w:pPr>
        <w:pStyle w:val="Heading1"/>
      </w:pPr>
      <w:r w:rsidRPr="00E9083B">
        <w:t xml:space="preserve">5. </w:t>
      </w:r>
      <w:r w:rsidR="00D91731" w:rsidRPr="00E9083B">
        <w:t>Processes and factors affecting attainment of project outcomes</w:t>
      </w:r>
    </w:p>
    <w:p w14:paraId="2E6BC7B9" w14:textId="77777777" w:rsidR="00B53643" w:rsidRPr="00E9083B" w:rsidRDefault="00AC439C" w:rsidP="00733785">
      <w:pPr>
        <w:pStyle w:val="Heading2"/>
      </w:pPr>
      <w:r w:rsidRPr="00E9083B">
        <w:t xml:space="preserve">5.1 </w:t>
      </w:r>
      <w:r w:rsidR="00D91731" w:rsidRPr="00E9083B">
        <w:t>Co-</w:t>
      </w:r>
      <w:r w:rsidR="00D91731" w:rsidRPr="00453062">
        <w:t>financing</w:t>
      </w:r>
      <w:r w:rsidRPr="00453062">
        <w:t xml:space="preserve">. </w:t>
      </w:r>
      <w:r w:rsidR="00B53643" w:rsidRPr="00453062">
        <w:t>To what extent was the reported co-financing essential to the ach</w:t>
      </w:r>
      <w:r w:rsidR="00B53643" w:rsidRPr="00E9083B">
        <w:t xml:space="preserve">ievement of GEF objectives? If there was a difference in the level of expected co-financing and actual co-financing, then what were the reasons for it? Did the extent of materialization of co-financing affect project’s outcomes </w:t>
      </w:r>
      <w:r w:rsidRPr="00E9083B">
        <w:t>and/or sustainability? If so</w:t>
      </w:r>
      <w:r w:rsidR="00B53643" w:rsidRPr="00E9083B">
        <w:t>, in what ways and through what causal linkages?</w:t>
      </w:r>
    </w:p>
    <w:p w14:paraId="1B1A7B24" w14:textId="7CFEF1AD" w:rsidR="00BA7E0E" w:rsidRPr="00E9083B" w:rsidRDefault="00BA7E0E" w:rsidP="00BA7E0E">
      <w:pPr>
        <w:spacing w:line="240" w:lineRule="auto"/>
        <w:ind w:left="720"/>
        <w:rPr>
          <w:rFonts w:asciiTheme="majorHAnsi" w:hAnsiTheme="majorHAnsi"/>
        </w:rPr>
      </w:pPr>
      <w:r w:rsidRPr="00BA7E0E">
        <w:rPr>
          <w:rFonts w:asciiTheme="majorHAnsi" w:hAnsiTheme="majorHAnsi"/>
        </w:rPr>
        <w:t xml:space="preserve">The level of verified co-finance has greatly exceeded the amount of co-finance foreseen as part of the project document. </w:t>
      </w:r>
      <w:r w:rsidR="0076038E">
        <w:rPr>
          <w:rFonts w:asciiTheme="majorHAnsi" w:hAnsiTheme="majorHAnsi"/>
        </w:rPr>
        <w:t xml:space="preserve"> (TE pg</w:t>
      </w:r>
      <w:r w:rsidR="00963578">
        <w:rPr>
          <w:rFonts w:asciiTheme="majorHAnsi" w:hAnsiTheme="majorHAnsi"/>
        </w:rPr>
        <w:t>.</w:t>
      </w:r>
      <w:r w:rsidR="0076038E">
        <w:rPr>
          <w:rFonts w:asciiTheme="majorHAnsi" w:hAnsiTheme="majorHAnsi"/>
        </w:rPr>
        <w:t xml:space="preserve"> 11)</w:t>
      </w:r>
    </w:p>
    <w:p w14:paraId="33188170" w14:textId="77777777" w:rsidR="00BA7E0E" w:rsidRDefault="00BA7E0E" w:rsidP="00BA7E0E">
      <w:pPr>
        <w:spacing w:line="240" w:lineRule="auto"/>
        <w:ind w:left="720"/>
        <w:rPr>
          <w:rFonts w:asciiTheme="majorHAnsi" w:hAnsiTheme="majorHAnsi"/>
        </w:rPr>
      </w:pPr>
      <w:r w:rsidRPr="00BA7E0E">
        <w:rPr>
          <w:rFonts w:asciiTheme="majorHAnsi" w:hAnsiTheme="majorHAnsi"/>
        </w:rPr>
        <w:t>Levels of country and other co-finance have substantially exceeded levels described in the Project Document. GEF finance to co-finance has often exceeded a ratio of 1:10. The result has been the leveraging of significant on-the-ground achievement of Outputs at relatively low GEF direct investment.</w:t>
      </w:r>
      <w:r>
        <w:rPr>
          <w:rFonts w:asciiTheme="majorHAnsi" w:hAnsiTheme="majorHAnsi"/>
        </w:rPr>
        <w:t xml:space="preserve"> </w:t>
      </w:r>
    </w:p>
    <w:p w14:paraId="78B319FA" w14:textId="77777777" w:rsidR="00C41456" w:rsidRPr="00E9083B" w:rsidRDefault="00AC439C" w:rsidP="00733785">
      <w:pPr>
        <w:pStyle w:val="Heading2"/>
      </w:pPr>
      <w:r w:rsidRPr="00E9083B">
        <w:t>5</w:t>
      </w:r>
      <w:r w:rsidRPr="00116592">
        <w:t xml:space="preserve">.2 Project extensions and/or delays. </w:t>
      </w:r>
      <w:r w:rsidR="00C41456" w:rsidRPr="00116592">
        <w:t>If</w:t>
      </w:r>
      <w:r w:rsidR="00C41456" w:rsidRPr="00E9083B">
        <w:t xml:space="preserve"> there were delays in project implementation and completion, then what were the reasons for it? Did the delay affect the project’s outcomes </w:t>
      </w:r>
      <w:r w:rsidRPr="00E9083B">
        <w:t>and/or sustainability? If so</w:t>
      </w:r>
      <w:r w:rsidR="00C41456" w:rsidRPr="00E9083B">
        <w:t>, in what ways and through what causal linkages?</w:t>
      </w:r>
    </w:p>
    <w:p w14:paraId="1C96F128" w14:textId="09BD830F" w:rsidR="006714FC" w:rsidRPr="00E9083B" w:rsidRDefault="003963BF" w:rsidP="00116592">
      <w:pPr>
        <w:spacing w:line="240" w:lineRule="auto"/>
        <w:ind w:left="720"/>
        <w:rPr>
          <w:rFonts w:asciiTheme="majorHAnsi" w:hAnsiTheme="majorHAnsi"/>
        </w:rPr>
      </w:pPr>
      <w:r>
        <w:rPr>
          <w:rFonts w:asciiTheme="majorHAnsi" w:hAnsiTheme="majorHAnsi"/>
        </w:rPr>
        <w:t>There was no del</w:t>
      </w:r>
      <w:r w:rsidR="00116592">
        <w:rPr>
          <w:rFonts w:asciiTheme="majorHAnsi" w:hAnsiTheme="majorHAnsi"/>
        </w:rPr>
        <w:t>ay in project completion.  The TE evaluates 5 years of a 10 year project, which seems to be running on schedule.  There were administrative delays (reports overdue, financial transactions lagging, etc.), but these did not seem to affect the overall achievement of project goals.</w:t>
      </w:r>
    </w:p>
    <w:p w14:paraId="65AE502A" w14:textId="77777777" w:rsidR="000B3320" w:rsidRPr="00E9083B" w:rsidRDefault="00AC439C" w:rsidP="00733785">
      <w:pPr>
        <w:pStyle w:val="Heading2"/>
      </w:pPr>
      <w:r w:rsidRPr="00E9083B">
        <w:t xml:space="preserve">5.3 </w:t>
      </w:r>
      <w:r w:rsidR="000218A0" w:rsidRPr="00E9083B">
        <w:t>Country ownership</w:t>
      </w:r>
      <w:r w:rsidRPr="00E9083B">
        <w:t xml:space="preserve">. </w:t>
      </w:r>
      <w:r w:rsidR="000B3320" w:rsidRPr="00E9083B">
        <w:t>Assess the extent to which country ownership has affected project outcomes and sustainability? Describe the ways in which it affected outcomes and sustainability, highlighting the causal links:</w:t>
      </w:r>
    </w:p>
    <w:p w14:paraId="6B4643C8" w14:textId="3DEF7EFF" w:rsidR="006714FC" w:rsidRDefault="00007F2D" w:rsidP="00414563">
      <w:pPr>
        <w:spacing w:line="240" w:lineRule="auto"/>
        <w:ind w:left="720"/>
        <w:rPr>
          <w:rFonts w:asciiTheme="majorHAnsi" w:hAnsiTheme="majorHAnsi"/>
        </w:rPr>
      </w:pPr>
      <w:r>
        <w:rPr>
          <w:rFonts w:asciiTheme="majorHAnsi" w:hAnsiTheme="majorHAnsi"/>
        </w:rPr>
        <w:t>One of the components of this p</w:t>
      </w:r>
      <w:r w:rsidRPr="00007F2D">
        <w:rPr>
          <w:rFonts w:asciiTheme="majorHAnsi" w:hAnsiTheme="majorHAnsi"/>
        </w:rPr>
        <w:t xml:space="preserve">roject </w:t>
      </w:r>
      <w:r>
        <w:rPr>
          <w:rFonts w:asciiTheme="majorHAnsi" w:hAnsiTheme="majorHAnsi"/>
        </w:rPr>
        <w:t>was the development of</w:t>
      </w:r>
      <w:r w:rsidRPr="00007F2D">
        <w:rPr>
          <w:rFonts w:asciiTheme="majorHAnsi" w:hAnsiTheme="majorHAnsi"/>
        </w:rPr>
        <w:t xml:space="preserve"> participatory networks of countries and country officials throughout the Seas of East Asia region </w:t>
      </w:r>
      <w:r w:rsidR="00414563">
        <w:rPr>
          <w:rFonts w:asciiTheme="majorHAnsi" w:hAnsiTheme="majorHAnsi"/>
        </w:rPr>
        <w:t>The TE states that “</w:t>
      </w:r>
      <w:r w:rsidR="00414563" w:rsidRPr="00414563">
        <w:rPr>
          <w:rFonts w:asciiTheme="majorHAnsi" w:hAnsiTheme="majorHAnsi"/>
        </w:rPr>
        <w:t xml:space="preserve">Based on extensive interviews with officials and other stakeholders from the participating countries, it is clear that the countries feel a keen sense of ownership of the SDS-SEA project. The evaluators also conclude that this sense of ownership will continue to grow. </w:t>
      </w:r>
      <w:r w:rsidR="00414563">
        <w:rPr>
          <w:rFonts w:asciiTheme="majorHAnsi" w:hAnsiTheme="majorHAnsi"/>
        </w:rPr>
        <w:t>“ (TE pg.10)</w:t>
      </w:r>
      <w:r w:rsidR="0076038E">
        <w:rPr>
          <w:rFonts w:asciiTheme="majorHAnsi" w:hAnsiTheme="majorHAnsi"/>
        </w:rPr>
        <w:t xml:space="preserve"> The TE also concludes that the unexpectedly high levels of co-financing secured is a sign of </w:t>
      </w:r>
      <w:r w:rsidR="0076038E" w:rsidRPr="00BA7E0E">
        <w:rPr>
          <w:rFonts w:asciiTheme="majorHAnsi" w:hAnsiTheme="majorHAnsi"/>
        </w:rPr>
        <w:t>substantial country commitment</w:t>
      </w:r>
      <w:r w:rsidR="0076038E">
        <w:rPr>
          <w:rFonts w:asciiTheme="majorHAnsi" w:hAnsiTheme="majorHAnsi"/>
        </w:rPr>
        <w:t>, and bodes well for achieving long term sustainability of project results. (TE pg</w:t>
      </w:r>
      <w:r w:rsidR="0033316A">
        <w:rPr>
          <w:rFonts w:asciiTheme="majorHAnsi" w:hAnsiTheme="majorHAnsi"/>
        </w:rPr>
        <w:t>.</w:t>
      </w:r>
      <w:r w:rsidR="0076038E">
        <w:rPr>
          <w:rFonts w:asciiTheme="majorHAnsi" w:hAnsiTheme="majorHAnsi"/>
        </w:rPr>
        <w:t xml:space="preserve"> 11)</w:t>
      </w:r>
    </w:p>
    <w:p w14:paraId="399D90FB" w14:textId="6A2E7AA0" w:rsidR="0033316A" w:rsidRDefault="0033316A" w:rsidP="00414563">
      <w:pPr>
        <w:spacing w:line="240" w:lineRule="auto"/>
        <w:ind w:left="720"/>
        <w:rPr>
          <w:rFonts w:asciiTheme="majorHAnsi" w:hAnsiTheme="majorHAnsi"/>
        </w:rPr>
      </w:pPr>
      <w:r>
        <w:rPr>
          <w:rFonts w:asciiTheme="majorHAnsi" w:hAnsiTheme="majorHAnsi"/>
        </w:rPr>
        <w:t>The TE also notes that</w:t>
      </w:r>
      <w:r w:rsidR="00B60493">
        <w:rPr>
          <w:rFonts w:asciiTheme="majorHAnsi" w:hAnsiTheme="majorHAnsi"/>
        </w:rPr>
        <w:t xml:space="preserve"> </w:t>
      </w:r>
      <w:r>
        <w:rPr>
          <w:rFonts w:asciiTheme="majorHAnsi" w:hAnsiTheme="majorHAnsi"/>
        </w:rPr>
        <w:t>“t</w:t>
      </w:r>
      <w:r w:rsidRPr="0033316A">
        <w:rPr>
          <w:rFonts w:asciiTheme="majorHAnsi" w:hAnsiTheme="majorHAnsi"/>
        </w:rPr>
        <w:t>he commitment by Timor Leste, ranked at number 147 in the 2011 Human Poverty Index, of $100,000 to ensure participation in the SDS-SEA Project is a further and special example of country commitment.</w:t>
      </w:r>
      <w:r>
        <w:rPr>
          <w:rFonts w:asciiTheme="majorHAnsi" w:hAnsiTheme="majorHAnsi"/>
        </w:rPr>
        <w:t>” (TE pg.14)</w:t>
      </w:r>
      <w:r w:rsidR="00007F2D">
        <w:rPr>
          <w:rFonts w:asciiTheme="majorHAnsi" w:hAnsiTheme="majorHAnsi"/>
        </w:rPr>
        <w:t xml:space="preserve"> Additional examples of coun</w:t>
      </w:r>
      <w:r w:rsidR="005C1FF3">
        <w:rPr>
          <w:rFonts w:asciiTheme="majorHAnsi" w:hAnsiTheme="majorHAnsi"/>
        </w:rPr>
        <w:t>try ownership are provided on page</w:t>
      </w:r>
      <w:r w:rsidR="00007F2D">
        <w:rPr>
          <w:rFonts w:asciiTheme="majorHAnsi" w:hAnsiTheme="majorHAnsi"/>
        </w:rPr>
        <w:t xml:space="preserve"> 50 of the TE.</w:t>
      </w:r>
    </w:p>
    <w:p w14:paraId="6DB7C538" w14:textId="77777777" w:rsidR="000218A0" w:rsidRPr="00E9083B" w:rsidRDefault="00AC439C" w:rsidP="00AC439C">
      <w:pPr>
        <w:pStyle w:val="Heading1"/>
      </w:pPr>
      <w:r w:rsidRPr="00E9083B">
        <w:t xml:space="preserve">6. </w:t>
      </w:r>
      <w:r w:rsidR="000218A0" w:rsidRPr="00E9083B">
        <w:t>Assessment of project’s Monitoring and Evaluation system</w:t>
      </w:r>
    </w:p>
    <w:p w14:paraId="3E15F493" w14:textId="77777777" w:rsidR="00AC439C" w:rsidRPr="00E9083B" w:rsidRDefault="00403512" w:rsidP="00AC439C">
      <w:pPr>
        <w:rPr>
          <w:rFonts w:asciiTheme="majorHAnsi" w:hAnsiTheme="majorHAnsi"/>
        </w:rPr>
      </w:pPr>
      <w:r w:rsidRPr="00E9083B">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6B547AC0" w14:textId="77777777" w:rsidR="00614163" w:rsidRPr="00E9083B" w:rsidRDefault="00614163" w:rsidP="00AC439C">
      <w:pPr>
        <w:rPr>
          <w:rFonts w:asciiTheme="majorHAnsi" w:hAnsiTheme="majorHAnsi"/>
        </w:rPr>
      </w:pPr>
      <w:r w:rsidRPr="00E9083B">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614163" w:rsidRPr="00E9083B" w14:paraId="6350292A" w14:textId="77777777" w:rsidTr="0080051F">
        <w:tc>
          <w:tcPr>
            <w:tcW w:w="4788" w:type="dxa"/>
          </w:tcPr>
          <w:p w14:paraId="22F5FF4E" w14:textId="77777777" w:rsidR="00614163" w:rsidRPr="00E9083B" w:rsidRDefault="00614163" w:rsidP="00614163">
            <w:pPr>
              <w:pStyle w:val="Heading3"/>
              <w:outlineLvl w:val="2"/>
            </w:pPr>
            <w:r w:rsidRPr="00E9083B">
              <w:rPr>
                <w:b w:val="0"/>
              </w:rPr>
              <w:t>6.1</w:t>
            </w:r>
            <w:r w:rsidRPr="00E9083B">
              <w:t xml:space="preserve"> M&amp;E Design at entry </w:t>
            </w:r>
          </w:p>
        </w:tc>
        <w:tc>
          <w:tcPr>
            <w:tcW w:w="4788" w:type="dxa"/>
            <w:vAlign w:val="center"/>
          </w:tcPr>
          <w:p w14:paraId="52500802" w14:textId="3385873D" w:rsidR="00614163" w:rsidRPr="00E9083B" w:rsidRDefault="00614163" w:rsidP="00D71318">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0E2309">
              <w:rPr>
                <w:rFonts w:asciiTheme="majorHAnsi" w:hAnsiTheme="majorHAnsi"/>
                <w:b/>
              </w:rPr>
              <w:t>Highly Sati</w:t>
            </w:r>
            <w:r w:rsidR="008F78A0">
              <w:rPr>
                <w:rFonts w:asciiTheme="majorHAnsi" w:hAnsiTheme="majorHAnsi"/>
                <w:b/>
              </w:rPr>
              <w:t>s</w:t>
            </w:r>
            <w:r w:rsidR="000E2309">
              <w:rPr>
                <w:rFonts w:asciiTheme="majorHAnsi" w:hAnsiTheme="majorHAnsi"/>
                <w:b/>
              </w:rPr>
              <w:t>factory</w:t>
            </w:r>
          </w:p>
        </w:tc>
      </w:tr>
    </w:tbl>
    <w:p w14:paraId="15481471" w14:textId="77777777" w:rsidR="006714FC" w:rsidRPr="00E9083B" w:rsidRDefault="006714FC" w:rsidP="006714FC">
      <w:pPr>
        <w:spacing w:line="240" w:lineRule="auto"/>
        <w:ind w:firstLine="720"/>
        <w:rPr>
          <w:rFonts w:asciiTheme="majorHAnsi" w:hAnsiTheme="majorHAnsi"/>
        </w:rPr>
      </w:pPr>
    </w:p>
    <w:p w14:paraId="07377815" w14:textId="77FED0BA" w:rsidR="000E2309" w:rsidRDefault="000E2309" w:rsidP="000E2309">
      <w:pPr>
        <w:spacing w:line="240" w:lineRule="auto"/>
        <w:ind w:left="720"/>
        <w:rPr>
          <w:rFonts w:asciiTheme="majorHAnsi" w:hAnsiTheme="majorHAnsi"/>
        </w:rPr>
      </w:pPr>
      <w:r>
        <w:rPr>
          <w:rFonts w:asciiTheme="majorHAnsi" w:hAnsiTheme="majorHAnsi"/>
        </w:rPr>
        <w:t>The Project Document described a thorough M&amp;E plan, with its own allocated budget of more than half a million dollars.  (Project Document pg</w:t>
      </w:r>
      <w:r w:rsidR="00963578">
        <w:rPr>
          <w:rFonts w:asciiTheme="majorHAnsi" w:hAnsiTheme="majorHAnsi"/>
        </w:rPr>
        <w:t>.</w:t>
      </w:r>
      <w:r>
        <w:rPr>
          <w:rFonts w:asciiTheme="majorHAnsi" w:hAnsiTheme="majorHAnsi"/>
        </w:rPr>
        <w:t xml:space="preserve"> 62-68)  The M&amp;E plan includes periodic report</w:t>
      </w:r>
      <w:r w:rsidR="00D84BED">
        <w:rPr>
          <w:rFonts w:asciiTheme="majorHAnsi" w:hAnsiTheme="majorHAnsi"/>
        </w:rPr>
        <w:t>ing</w:t>
      </w:r>
      <w:r>
        <w:rPr>
          <w:rFonts w:asciiTheme="majorHAnsi" w:hAnsiTheme="majorHAnsi"/>
        </w:rPr>
        <w:t xml:space="preserve">, development of indicators tailored to each of the project components, and specified committees responsible for M&amp;E activities.  </w:t>
      </w:r>
    </w:p>
    <w:p w14:paraId="3275046A" w14:textId="0B6AA6F3" w:rsidR="006714FC" w:rsidRDefault="0080051F" w:rsidP="000E2309">
      <w:pPr>
        <w:spacing w:line="240" w:lineRule="auto"/>
        <w:ind w:left="720"/>
        <w:rPr>
          <w:rFonts w:asciiTheme="majorHAnsi" w:hAnsiTheme="majorHAnsi"/>
        </w:rPr>
      </w:pPr>
      <w:r w:rsidRPr="00E9083B">
        <w:rPr>
          <w:rFonts w:asciiTheme="majorHAnsi" w:hAnsiTheme="majorHAnsi"/>
        </w:rPr>
        <w:t>T</w:t>
      </w:r>
      <w:r>
        <w:rPr>
          <w:rFonts w:asciiTheme="majorHAnsi" w:hAnsiTheme="majorHAnsi"/>
        </w:rPr>
        <w:t>he TE notes that the monitoring and evaluation plan contained in the project document is “…</w:t>
      </w:r>
      <w:r w:rsidRPr="003821A1">
        <w:rPr>
          <w:rFonts w:asciiTheme="majorHAnsi" w:hAnsiTheme="majorHAnsi"/>
        </w:rPr>
        <w:t>thorough and consistent with UNDP-GEF standards. Further, the focus on provincial and local level demonstration projects as part of an ICM approach lends itself to the early identification of GEF stress reduction and environmental status indicators.</w:t>
      </w:r>
      <w:r>
        <w:rPr>
          <w:rFonts w:asciiTheme="majorHAnsi" w:hAnsiTheme="majorHAnsi"/>
        </w:rPr>
        <w:t>” (TE pg. 10)</w:t>
      </w:r>
      <w:r w:rsidR="000E2309" w:rsidRPr="00E9083B">
        <w:rPr>
          <w:rFonts w:asciiTheme="majorHAnsi" w:hAnsiTheme="majorHAnsi"/>
        </w:rPr>
        <w:t xml:space="preserve"> </w:t>
      </w:r>
    </w:p>
    <w:p w14:paraId="709845B1" w14:textId="5FB2276F" w:rsidR="000E2309" w:rsidRPr="00E9083B" w:rsidRDefault="000E2309" w:rsidP="000E2309">
      <w:pPr>
        <w:spacing w:line="240" w:lineRule="auto"/>
        <w:ind w:left="720"/>
        <w:rPr>
          <w:rFonts w:asciiTheme="majorHAnsi" w:hAnsiTheme="majorHAnsi"/>
        </w:rPr>
      </w:pPr>
      <w:r>
        <w:rPr>
          <w:rFonts w:asciiTheme="majorHAnsi" w:hAnsiTheme="majorHAnsi"/>
        </w:rPr>
        <w:t>The M&amp;E plan is found to be more complete and thorough than most of those encountered in other GEF funded projects, and is rated highly satisfactory.</w:t>
      </w:r>
    </w:p>
    <w:tbl>
      <w:tblPr>
        <w:tblStyle w:val="TableGrid"/>
        <w:tblW w:w="0" w:type="auto"/>
        <w:tblLook w:val="04A0" w:firstRow="1" w:lastRow="0" w:firstColumn="1" w:lastColumn="0" w:noHBand="0" w:noVBand="1"/>
      </w:tblPr>
      <w:tblGrid>
        <w:gridCol w:w="4788"/>
        <w:gridCol w:w="4788"/>
      </w:tblGrid>
      <w:tr w:rsidR="00614163" w:rsidRPr="00E9083B" w14:paraId="3595BB3D" w14:textId="77777777" w:rsidTr="0080051F">
        <w:tc>
          <w:tcPr>
            <w:tcW w:w="4788" w:type="dxa"/>
          </w:tcPr>
          <w:p w14:paraId="4E373212" w14:textId="77777777" w:rsidR="00614163" w:rsidRPr="00E9083B" w:rsidRDefault="00614163" w:rsidP="00614163">
            <w:pPr>
              <w:pStyle w:val="Heading3"/>
              <w:outlineLvl w:val="2"/>
            </w:pPr>
            <w:r w:rsidRPr="00E9083B">
              <w:rPr>
                <w:b w:val="0"/>
              </w:rPr>
              <w:t>6.2</w:t>
            </w:r>
            <w:r w:rsidRPr="00E9083B">
              <w:t xml:space="preserve"> M&amp;E Implementation </w:t>
            </w:r>
          </w:p>
        </w:tc>
        <w:tc>
          <w:tcPr>
            <w:tcW w:w="4788" w:type="dxa"/>
            <w:vAlign w:val="center"/>
          </w:tcPr>
          <w:p w14:paraId="3688B508" w14:textId="253DAA48" w:rsidR="00614163" w:rsidRPr="00E9083B" w:rsidRDefault="00614163" w:rsidP="007858B0">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7858B0" w:rsidRPr="007858B0">
              <w:rPr>
                <w:rFonts w:asciiTheme="majorHAnsi" w:hAnsiTheme="majorHAnsi"/>
                <w:b/>
              </w:rPr>
              <w:t>Satisfactory</w:t>
            </w:r>
          </w:p>
        </w:tc>
      </w:tr>
    </w:tbl>
    <w:p w14:paraId="4C3CEA00" w14:textId="77777777" w:rsidR="006714FC" w:rsidRPr="00E9083B" w:rsidRDefault="006714FC" w:rsidP="006714FC">
      <w:pPr>
        <w:spacing w:line="240" w:lineRule="auto"/>
        <w:ind w:firstLine="720"/>
        <w:rPr>
          <w:rFonts w:asciiTheme="majorHAnsi" w:hAnsiTheme="majorHAnsi"/>
        </w:rPr>
      </w:pPr>
    </w:p>
    <w:p w14:paraId="70CB6CF8" w14:textId="2615D6D7" w:rsidR="0032201A" w:rsidRDefault="0032201A" w:rsidP="0032201A">
      <w:pPr>
        <w:spacing w:line="240" w:lineRule="auto"/>
        <w:ind w:left="720"/>
        <w:rPr>
          <w:rFonts w:asciiTheme="majorHAnsi" w:hAnsiTheme="majorHAnsi"/>
        </w:rPr>
      </w:pPr>
      <w:r>
        <w:rPr>
          <w:rFonts w:asciiTheme="majorHAnsi" w:hAnsiTheme="majorHAnsi"/>
        </w:rPr>
        <w:t xml:space="preserve">The Project Document contained a table that detailed M&amp;E activities, including responsible parties and time frame (Project Document pg. 64).  The TE includes that same table, with an additional comment reporting on the progress of each of the M&amp;E components. (TE pg. 40-42)  The TE rates </w:t>
      </w:r>
      <w:r w:rsidR="007858B0">
        <w:rPr>
          <w:rFonts w:asciiTheme="majorHAnsi" w:hAnsiTheme="majorHAnsi"/>
        </w:rPr>
        <w:t xml:space="preserve">M&amp;E implementation as moderately satisfactory, stating that </w:t>
      </w:r>
      <w:r w:rsidR="00D71318">
        <w:rPr>
          <w:rFonts w:asciiTheme="majorHAnsi" w:hAnsiTheme="majorHAnsi"/>
        </w:rPr>
        <w:t xml:space="preserve">“the identification of </w:t>
      </w:r>
      <w:r w:rsidR="007858B0">
        <w:rPr>
          <w:rFonts w:asciiTheme="majorHAnsi" w:hAnsiTheme="majorHAnsi"/>
        </w:rPr>
        <w:t xml:space="preserve">stress reduction indicators and environmental status </w:t>
      </w:r>
      <w:r w:rsidR="00D71318">
        <w:rPr>
          <w:rFonts w:asciiTheme="majorHAnsi" w:hAnsiTheme="majorHAnsi"/>
        </w:rPr>
        <w:t xml:space="preserve">has lagged” (TE pg. 40. </w:t>
      </w:r>
      <w:r w:rsidR="007858B0">
        <w:rPr>
          <w:rFonts w:asciiTheme="majorHAnsi" w:hAnsiTheme="majorHAnsi"/>
        </w:rPr>
        <w:t>i.</w:t>
      </w:r>
      <w:r w:rsidR="00D71318">
        <w:rPr>
          <w:rFonts w:asciiTheme="majorHAnsi" w:hAnsiTheme="majorHAnsi"/>
        </w:rPr>
        <w:t xml:space="preserve"> According to the TE, it seems that the planning of indicators was satisfactory, but the implementation was flawed.</w:t>
      </w:r>
      <w:r w:rsidR="007858B0">
        <w:rPr>
          <w:rFonts w:asciiTheme="majorHAnsi" w:hAnsiTheme="majorHAnsi"/>
        </w:rPr>
        <w:t xml:space="preserve">  The TE also notes that a planned mid-term evaluation was not undertaken</w:t>
      </w:r>
      <w:r w:rsidR="00D17A2D">
        <w:rPr>
          <w:rFonts w:asciiTheme="majorHAnsi" w:hAnsiTheme="majorHAnsi"/>
        </w:rPr>
        <w:t>, however it is noted that MTEs are not required for MSP GEF projects.</w:t>
      </w:r>
    </w:p>
    <w:p w14:paraId="43E97AF9" w14:textId="052EBEED" w:rsidR="00D84BED" w:rsidRDefault="00424B81" w:rsidP="007858B0">
      <w:pPr>
        <w:spacing w:line="240" w:lineRule="auto"/>
        <w:ind w:left="720"/>
        <w:rPr>
          <w:rFonts w:asciiTheme="majorHAnsi" w:hAnsiTheme="majorHAnsi"/>
        </w:rPr>
      </w:pPr>
      <w:r>
        <w:rPr>
          <w:rFonts w:asciiTheme="majorHAnsi" w:hAnsiTheme="majorHAnsi"/>
        </w:rPr>
        <w:t>The M&amp;E plan was comprehensive and complete</w:t>
      </w:r>
      <w:r w:rsidR="00D17A2D">
        <w:rPr>
          <w:rFonts w:asciiTheme="majorHAnsi" w:hAnsiTheme="majorHAnsi"/>
        </w:rPr>
        <w:t>.</w:t>
      </w:r>
      <w:r>
        <w:rPr>
          <w:rFonts w:asciiTheme="majorHAnsi" w:hAnsiTheme="majorHAnsi"/>
        </w:rPr>
        <w:t xml:space="preserve">.  </w:t>
      </w:r>
      <w:r w:rsidR="00D17A2D">
        <w:rPr>
          <w:rFonts w:asciiTheme="majorHAnsi" w:hAnsiTheme="majorHAnsi"/>
        </w:rPr>
        <w:t>W</w:t>
      </w:r>
      <w:r>
        <w:rPr>
          <w:rFonts w:asciiTheme="majorHAnsi" w:hAnsiTheme="majorHAnsi"/>
        </w:rPr>
        <w:t>ith the exception of the mid-term evaluation</w:t>
      </w:r>
      <w:r w:rsidR="00D17A2D">
        <w:rPr>
          <w:rFonts w:asciiTheme="majorHAnsi" w:hAnsiTheme="majorHAnsi"/>
        </w:rPr>
        <w:t>, all planned M&amp;E activities were undertaken</w:t>
      </w:r>
      <w:r>
        <w:rPr>
          <w:rFonts w:asciiTheme="majorHAnsi" w:hAnsiTheme="majorHAnsi"/>
        </w:rPr>
        <w:t xml:space="preserve">.  The TE notes that </w:t>
      </w:r>
      <w:r w:rsidR="007858B0">
        <w:rPr>
          <w:rFonts w:asciiTheme="majorHAnsi" w:hAnsiTheme="majorHAnsi"/>
        </w:rPr>
        <w:t>M&amp;E “</w:t>
      </w:r>
      <w:r w:rsidR="007858B0" w:rsidRPr="0032201A">
        <w:rPr>
          <w:rFonts w:asciiTheme="majorHAnsi" w:hAnsiTheme="majorHAnsi"/>
        </w:rPr>
        <w:t>has been undertaken by the project with the appropriate</w:t>
      </w:r>
      <w:r>
        <w:rPr>
          <w:rFonts w:asciiTheme="majorHAnsi" w:hAnsiTheme="majorHAnsi"/>
        </w:rPr>
        <w:t xml:space="preserve"> participation of the IA and EA</w:t>
      </w:r>
      <w:r w:rsidR="007858B0">
        <w:rPr>
          <w:rFonts w:asciiTheme="majorHAnsi" w:hAnsiTheme="majorHAnsi"/>
        </w:rPr>
        <w:t>…</w:t>
      </w:r>
      <w:r w:rsidR="007858B0" w:rsidRPr="0032201A">
        <w:t xml:space="preserve"> </w:t>
      </w:r>
      <w:r w:rsidR="007858B0" w:rsidRPr="0032201A">
        <w:rPr>
          <w:rFonts w:asciiTheme="majorHAnsi" w:hAnsiTheme="majorHAnsi"/>
        </w:rPr>
        <w:t>Auditing has been done on an ongoing basis by UNOPS, and also by non-GEF bi-lateral and multi-lateral donors for their respective grants to the Project.</w:t>
      </w:r>
      <w:r w:rsidR="007858B0">
        <w:rPr>
          <w:rFonts w:asciiTheme="majorHAnsi" w:hAnsiTheme="majorHAnsi"/>
        </w:rPr>
        <w:t>” (TE pg. 39</w:t>
      </w:r>
      <w:r w:rsidR="00373798">
        <w:rPr>
          <w:rFonts w:asciiTheme="majorHAnsi" w:hAnsiTheme="majorHAnsi"/>
        </w:rPr>
        <w:t>) The TE is right to suggest</w:t>
      </w:r>
      <w:r>
        <w:rPr>
          <w:rFonts w:asciiTheme="majorHAnsi" w:hAnsiTheme="majorHAnsi"/>
        </w:rPr>
        <w:t xml:space="preserve"> improvements in the M&amp;E plan.  </w:t>
      </w:r>
    </w:p>
    <w:p w14:paraId="48041D47" w14:textId="499F8315" w:rsidR="00424B81" w:rsidRDefault="00373798" w:rsidP="007858B0">
      <w:pPr>
        <w:spacing w:line="240" w:lineRule="auto"/>
        <w:ind w:left="720"/>
        <w:rPr>
          <w:rFonts w:asciiTheme="majorHAnsi" w:hAnsiTheme="majorHAnsi"/>
        </w:rPr>
      </w:pPr>
      <w:r>
        <w:rPr>
          <w:rFonts w:asciiTheme="majorHAnsi" w:hAnsiTheme="majorHAnsi"/>
        </w:rPr>
        <w:t>T</w:t>
      </w:r>
      <w:r w:rsidR="00424B81">
        <w:rPr>
          <w:rFonts w:asciiTheme="majorHAnsi" w:hAnsiTheme="majorHAnsi"/>
        </w:rPr>
        <w:t>his review ass</w:t>
      </w:r>
      <w:r>
        <w:rPr>
          <w:rFonts w:asciiTheme="majorHAnsi" w:hAnsiTheme="majorHAnsi"/>
        </w:rPr>
        <w:t>igns a rating of “satisfactory” for M&amp;E Implementation.</w:t>
      </w:r>
    </w:p>
    <w:p w14:paraId="5A7DE5D0" w14:textId="77777777" w:rsidR="0080051F" w:rsidRPr="00E9083B" w:rsidRDefault="0080051F" w:rsidP="00373798">
      <w:pPr>
        <w:spacing w:line="240" w:lineRule="auto"/>
        <w:rPr>
          <w:rFonts w:asciiTheme="majorHAnsi" w:hAnsiTheme="majorHAnsi"/>
        </w:rPr>
      </w:pPr>
    </w:p>
    <w:p w14:paraId="3F99547D" w14:textId="77777777" w:rsidR="000218A0" w:rsidRPr="00E9083B" w:rsidRDefault="0022787B" w:rsidP="0022787B">
      <w:pPr>
        <w:pStyle w:val="Heading1"/>
      </w:pPr>
      <w:r w:rsidRPr="00E9083B">
        <w:t>7. Assessment of project</w:t>
      </w:r>
      <w:r w:rsidR="000218A0" w:rsidRPr="00E9083B">
        <w:t xml:space="preserve"> </w:t>
      </w:r>
      <w:r w:rsidRPr="00E9083B">
        <w:t>implementation and e</w:t>
      </w:r>
      <w:r w:rsidR="000218A0" w:rsidRPr="00E9083B">
        <w:t>xecution</w:t>
      </w:r>
    </w:p>
    <w:p w14:paraId="784B24EF" w14:textId="77777777" w:rsidR="008B3045" w:rsidRPr="00E9083B" w:rsidRDefault="008B3045" w:rsidP="008B3045">
      <w:pPr>
        <w:rPr>
          <w:rFonts w:asciiTheme="majorHAnsi" w:hAnsiTheme="majorHAnsi"/>
        </w:rPr>
      </w:pPr>
      <w:r w:rsidRPr="00E9083B">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75D4E9BE" w14:textId="77777777" w:rsidR="00614163" w:rsidRPr="00E9083B" w:rsidRDefault="00614163" w:rsidP="00614163">
      <w:pPr>
        <w:rPr>
          <w:rFonts w:asciiTheme="majorHAnsi" w:hAnsiTheme="majorHAnsi"/>
        </w:rPr>
      </w:pPr>
      <w:r w:rsidRPr="00E9083B">
        <w:rPr>
          <w:rFonts w:asciiTheme="majorHAnsi" w:hAnsiTheme="majorHAnsi"/>
        </w:rPr>
        <w:t>Please justify ratings in the space below each box.</w:t>
      </w:r>
    </w:p>
    <w:p w14:paraId="04182739" w14:textId="77777777" w:rsidR="00614163" w:rsidRPr="00E9083B" w:rsidRDefault="00614163" w:rsidP="008B3045">
      <w:pPr>
        <w:rPr>
          <w:rFonts w:asciiTheme="majorHAnsi" w:hAnsiTheme="majorHAnsi"/>
        </w:rPr>
      </w:pPr>
    </w:p>
    <w:tbl>
      <w:tblPr>
        <w:tblStyle w:val="TableGrid"/>
        <w:tblW w:w="0" w:type="auto"/>
        <w:tblLook w:val="04A0" w:firstRow="1" w:lastRow="0" w:firstColumn="1" w:lastColumn="0" w:noHBand="0" w:noVBand="1"/>
      </w:tblPr>
      <w:tblGrid>
        <w:gridCol w:w="4788"/>
        <w:gridCol w:w="4788"/>
      </w:tblGrid>
      <w:tr w:rsidR="00614163" w:rsidRPr="00E9083B" w14:paraId="5E1D24F4" w14:textId="77777777" w:rsidTr="0080051F">
        <w:tc>
          <w:tcPr>
            <w:tcW w:w="4788" w:type="dxa"/>
          </w:tcPr>
          <w:p w14:paraId="2DA5594D" w14:textId="77777777" w:rsidR="00614163" w:rsidRPr="00E9083B" w:rsidRDefault="00614163" w:rsidP="00614163">
            <w:pPr>
              <w:pStyle w:val="Heading3"/>
              <w:outlineLvl w:val="2"/>
            </w:pPr>
            <w:r w:rsidRPr="00E9083B">
              <w:rPr>
                <w:b w:val="0"/>
              </w:rPr>
              <w:t>7.1</w:t>
            </w:r>
            <w:r w:rsidRPr="00E9083B">
              <w:t xml:space="preserve"> Quality of Project Implementation </w:t>
            </w:r>
          </w:p>
        </w:tc>
        <w:tc>
          <w:tcPr>
            <w:tcW w:w="4788" w:type="dxa"/>
            <w:vAlign w:val="center"/>
          </w:tcPr>
          <w:p w14:paraId="3B5F9D2A" w14:textId="11EAAF65" w:rsidR="00614163" w:rsidRPr="00E9083B" w:rsidRDefault="00614163" w:rsidP="001B00D0">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1B00D0">
              <w:rPr>
                <w:rFonts w:asciiTheme="majorHAnsi" w:hAnsiTheme="majorHAnsi"/>
                <w:b/>
              </w:rPr>
              <w:t>Satisfactory</w:t>
            </w:r>
          </w:p>
        </w:tc>
      </w:tr>
    </w:tbl>
    <w:p w14:paraId="73575E99" w14:textId="77777777" w:rsidR="001B00D0" w:rsidRDefault="001B00D0" w:rsidP="00BA7E0E">
      <w:pPr>
        <w:spacing w:line="240" w:lineRule="auto"/>
        <w:ind w:left="720"/>
        <w:rPr>
          <w:rFonts w:asciiTheme="majorHAnsi" w:hAnsiTheme="majorHAnsi"/>
        </w:rPr>
      </w:pPr>
    </w:p>
    <w:p w14:paraId="4FA1B7FC" w14:textId="4159AB65" w:rsidR="008916FD" w:rsidRDefault="00654234" w:rsidP="00BA7E0E">
      <w:pPr>
        <w:spacing w:line="240" w:lineRule="auto"/>
        <w:ind w:left="720"/>
        <w:rPr>
          <w:rFonts w:asciiTheme="majorHAnsi" w:hAnsiTheme="majorHAnsi"/>
        </w:rPr>
      </w:pPr>
      <w:r>
        <w:rPr>
          <w:rFonts w:asciiTheme="majorHAnsi" w:hAnsiTheme="majorHAnsi"/>
        </w:rPr>
        <w:t>The implementing agency is UNDP</w:t>
      </w:r>
      <w:r w:rsidR="00B60493">
        <w:rPr>
          <w:rFonts w:asciiTheme="majorHAnsi" w:hAnsiTheme="majorHAnsi"/>
        </w:rPr>
        <w:t xml:space="preserve">.  </w:t>
      </w:r>
      <w:r w:rsidR="0076038E">
        <w:rPr>
          <w:rFonts w:asciiTheme="majorHAnsi" w:hAnsiTheme="majorHAnsi"/>
        </w:rPr>
        <w:t xml:space="preserve">The TE </w:t>
      </w:r>
      <w:r w:rsidR="006D3E0F">
        <w:rPr>
          <w:rFonts w:asciiTheme="majorHAnsi" w:hAnsiTheme="majorHAnsi"/>
        </w:rPr>
        <w:t>notes</w:t>
      </w:r>
      <w:r w:rsidR="0076038E">
        <w:rPr>
          <w:rFonts w:asciiTheme="majorHAnsi" w:hAnsiTheme="majorHAnsi"/>
        </w:rPr>
        <w:t xml:space="preserve"> “</w:t>
      </w:r>
      <w:r w:rsidR="00BA7E0E" w:rsidRPr="003821A1">
        <w:rPr>
          <w:rFonts w:asciiTheme="majorHAnsi" w:hAnsiTheme="majorHAnsi"/>
        </w:rPr>
        <w:t>the existing Implementing Agency relationship to the needs of the PEMSEA, and to the participating countries, has been a productive and healthy one. However, the PEMSEA Resource Facility has identified 15 “challenges” of which 8 relate to varying degrees to the UNDP.</w:t>
      </w:r>
      <w:r>
        <w:rPr>
          <w:rFonts w:asciiTheme="majorHAnsi" w:hAnsiTheme="majorHAnsi"/>
        </w:rPr>
        <w:t>” (TE</w:t>
      </w:r>
      <w:r w:rsidR="00963578">
        <w:rPr>
          <w:rFonts w:asciiTheme="majorHAnsi" w:hAnsiTheme="majorHAnsi"/>
        </w:rPr>
        <w:t xml:space="preserve"> pg.</w:t>
      </w:r>
      <w:r w:rsidR="00BA7E0E">
        <w:rPr>
          <w:rFonts w:asciiTheme="majorHAnsi" w:hAnsiTheme="majorHAnsi"/>
        </w:rPr>
        <w:t xml:space="preserve"> 11)</w:t>
      </w:r>
      <w:r w:rsidR="008916FD">
        <w:rPr>
          <w:rFonts w:asciiTheme="majorHAnsi" w:hAnsiTheme="majorHAnsi"/>
        </w:rPr>
        <w:t xml:space="preserve">  Most of the challenges listed in the TE describe delays or difficulties due to l</w:t>
      </w:r>
      <w:r>
        <w:rPr>
          <w:rFonts w:asciiTheme="majorHAnsi" w:hAnsiTheme="majorHAnsi"/>
        </w:rPr>
        <w:t xml:space="preserve">engthy administrative processes.  </w:t>
      </w:r>
      <w:r w:rsidR="001B00D0">
        <w:rPr>
          <w:rFonts w:asciiTheme="majorHAnsi" w:hAnsiTheme="majorHAnsi"/>
        </w:rPr>
        <w:t xml:space="preserve">It is clear that UNDP and UNOPS could have streamlined their administrative procedures, or at the very least could have given PEMSEA adequate training and support.   </w:t>
      </w:r>
    </w:p>
    <w:p w14:paraId="1390DC8A" w14:textId="1EF9B997" w:rsidR="00BA7E0E" w:rsidRDefault="001B00D0" w:rsidP="00BA7E0E">
      <w:pPr>
        <w:spacing w:line="240" w:lineRule="auto"/>
        <w:ind w:left="720"/>
        <w:rPr>
          <w:rFonts w:asciiTheme="majorHAnsi" w:hAnsiTheme="majorHAnsi"/>
        </w:rPr>
      </w:pPr>
      <w:r>
        <w:rPr>
          <w:rFonts w:asciiTheme="majorHAnsi" w:hAnsiTheme="majorHAnsi"/>
        </w:rPr>
        <w:t xml:space="preserve">In general, project implementation was satisfactory, and thus the rating given by the TE is also given here. </w:t>
      </w:r>
    </w:p>
    <w:tbl>
      <w:tblPr>
        <w:tblStyle w:val="TableGrid"/>
        <w:tblW w:w="0" w:type="auto"/>
        <w:tblLook w:val="04A0" w:firstRow="1" w:lastRow="0" w:firstColumn="1" w:lastColumn="0" w:noHBand="0" w:noVBand="1"/>
      </w:tblPr>
      <w:tblGrid>
        <w:gridCol w:w="4788"/>
        <w:gridCol w:w="4788"/>
      </w:tblGrid>
      <w:tr w:rsidR="00614163" w:rsidRPr="00E9083B" w14:paraId="493A45D8" w14:textId="77777777" w:rsidTr="0080051F">
        <w:tc>
          <w:tcPr>
            <w:tcW w:w="4788" w:type="dxa"/>
          </w:tcPr>
          <w:p w14:paraId="32AC5D17" w14:textId="77777777" w:rsidR="00614163" w:rsidRPr="00E9083B" w:rsidRDefault="00614163" w:rsidP="00614163">
            <w:pPr>
              <w:pStyle w:val="Heading3"/>
              <w:outlineLvl w:val="2"/>
            </w:pPr>
            <w:r w:rsidRPr="00E9083B">
              <w:rPr>
                <w:b w:val="0"/>
              </w:rPr>
              <w:t>7.2</w:t>
            </w:r>
            <w:r w:rsidRPr="00E9083B">
              <w:t xml:space="preserve"> Quality of Project Execution </w:t>
            </w:r>
          </w:p>
        </w:tc>
        <w:tc>
          <w:tcPr>
            <w:tcW w:w="4788" w:type="dxa"/>
            <w:vAlign w:val="center"/>
          </w:tcPr>
          <w:p w14:paraId="197C1B91" w14:textId="07D479A8" w:rsidR="00614163" w:rsidRPr="00E9083B" w:rsidRDefault="00614163" w:rsidP="00654234">
            <w:pPr>
              <w:rPr>
                <w:rFonts w:asciiTheme="majorHAnsi" w:hAnsiTheme="majorHAnsi"/>
              </w:rPr>
            </w:pPr>
            <w:r w:rsidRPr="00E9083B">
              <w:rPr>
                <w:rFonts w:asciiTheme="majorHAnsi" w:hAnsiTheme="majorHAnsi"/>
              </w:rPr>
              <w:t>Rating:</w:t>
            </w:r>
            <w:r w:rsidR="004629C4" w:rsidRPr="00E9083B">
              <w:rPr>
                <w:rFonts w:asciiTheme="majorHAnsi" w:hAnsiTheme="majorHAnsi"/>
              </w:rPr>
              <w:t xml:space="preserve"> </w:t>
            </w:r>
            <w:r w:rsidR="00EB6AAF">
              <w:rPr>
                <w:rFonts w:asciiTheme="majorHAnsi" w:hAnsiTheme="majorHAnsi"/>
                <w:b/>
              </w:rPr>
              <w:t>Satisfactory</w:t>
            </w:r>
          </w:p>
        </w:tc>
      </w:tr>
    </w:tbl>
    <w:p w14:paraId="4D6F2E90" w14:textId="77777777" w:rsidR="00654234" w:rsidRDefault="00654234" w:rsidP="00BA7E0E">
      <w:pPr>
        <w:spacing w:line="240" w:lineRule="auto"/>
        <w:ind w:left="720"/>
        <w:rPr>
          <w:rFonts w:asciiTheme="majorHAnsi" w:hAnsiTheme="majorHAnsi"/>
        </w:rPr>
      </w:pPr>
    </w:p>
    <w:p w14:paraId="5DF5A9CA" w14:textId="17CA6344" w:rsidR="00BA7E0E" w:rsidRDefault="00B60493" w:rsidP="00BA7E0E">
      <w:pPr>
        <w:spacing w:line="240" w:lineRule="auto"/>
        <w:ind w:left="720"/>
        <w:rPr>
          <w:rFonts w:asciiTheme="majorHAnsi" w:hAnsiTheme="majorHAnsi"/>
        </w:rPr>
      </w:pPr>
      <w:r>
        <w:rPr>
          <w:rFonts w:asciiTheme="majorHAnsi" w:hAnsiTheme="majorHAnsi"/>
        </w:rPr>
        <w:t xml:space="preserve">The executing agency is </w:t>
      </w:r>
      <w:r w:rsidR="00654234">
        <w:rPr>
          <w:rFonts w:asciiTheme="majorHAnsi" w:hAnsiTheme="majorHAnsi"/>
        </w:rPr>
        <w:t xml:space="preserve">identified as UNOPS, but also includes </w:t>
      </w:r>
      <w:r>
        <w:rPr>
          <w:rFonts w:asciiTheme="majorHAnsi" w:hAnsiTheme="majorHAnsi"/>
        </w:rPr>
        <w:t>PEMSEA, “</w:t>
      </w:r>
      <w:r w:rsidRPr="00B60493">
        <w:rPr>
          <w:rFonts w:asciiTheme="majorHAnsi" w:hAnsiTheme="majorHAnsi"/>
        </w:rPr>
        <w:t>Partnerships in Environmental Management for the Seas of East Asia</w:t>
      </w:r>
      <w:r>
        <w:rPr>
          <w:rFonts w:asciiTheme="majorHAnsi" w:hAnsiTheme="majorHAnsi"/>
        </w:rPr>
        <w:t xml:space="preserve">”. </w:t>
      </w:r>
      <w:r w:rsidR="0076038E">
        <w:rPr>
          <w:rFonts w:asciiTheme="majorHAnsi" w:hAnsiTheme="majorHAnsi"/>
        </w:rPr>
        <w:t xml:space="preserve">The TE concludes that “ </w:t>
      </w:r>
      <w:r w:rsidR="00BA7E0E" w:rsidRPr="00BA7E0E">
        <w:rPr>
          <w:rFonts w:asciiTheme="majorHAnsi" w:hAnsiTheme="majorHAnsi"/>
        </w:rPr>
        <w:t>the complexity of the PEMSEA project apparatus, existing as it has since 1996, presents challenges both to PEMSEA and to the UNOPS. As above, the PEMSEA Resource facility has identified 15 “challenges” of which they conclude 13 relate in varyi</w:t>
      </w:r>
      <w:r w:rsidR="00654234">
        <w:rPr>
          <w:rFonts w:asciiTheme="majorHAnsi" w:hAnsiTheme="majorHAnsi"/>
        </w:rPr>
        <w:t xml:space="preserve">ng degrees to UNOPS execution.” (TE pg. 11, 143-148) Most of these challenges are due to lengthy or cumbersome administrative procedures, and at times a lack of clear communication between UNOPS and PEMSEA.  Many of the administrative delays could have been averted.  For this reason, the rating given here is ‘satisfactory’. </w:t>
      </w:r>
    </w:p>
    <w:p w14:paraId="42DFA2D8" w14:textId="77777777" w:rsidR="001A7856" w:rsidRPr="00E9083B" w:rsidRDefault="00EC70CC" w:rsidP="00EC70CC">
      <w:pPr>
        <w:pStyle w:val="Heading1"/>
      </w:pPr>
      <w:r w:rsidRPr="00E9083B">
        <w:t xml:space="preserve">8. </w:t>
      </w:r>
      <w:r w:rsidR="000218A0" w:rsidRPr="00E9083B">
        <w:t>Lessons and recommendations</w:t>
      </w:r>
    </w:p>
    <w:p w14:paraId="1876FF94" w14:textId="77777777" w:rsidR="00477B6D" w:rsidRPr="00E9083B" w:rsidRDefault="00477B6D" w:rsidP="006714FC">
      <w:pPr>
        <w:pStyle w:val="Heading2"/>
      </w:pPr>
      <w:r w:rsidRPr="00E9083B">
        <w:t>8.1 Briefly describe the k</w:t>
      </w:r>
      <w:r w:rsidR="001A7856" w:rsidRPr="00E9083B">
        <w:t>ey lessons</w:t>
      </w:r>
      <w:r w:rsidRPr="00E9083B">
        <w:t>, good practices, or approaches mentioned in the terminal evaluation report that could have application for other GEF projects</w:t>
      </w:r>
      <w:r w:rsidR="000C6514" w:rsidRPr="00E9083B">
        <w:t>.</w:t>
      </w:r>
    </w:p>
    <w:p w14:paraId="36637C2A" w14:textId="1B77E595" w:rsidR="00EF4F97" w:rsidRDefault="006714FC" w:rsidP="00EF4F97">
      <w:pPr>
        <w:spacing w:line="240" w:lineRule="auto"/>
        <w:ind w:left="720"/>
        <w:rPr>
          <w:rFonts w:asciiTheme="majorHAnsi" w:hAnsiTheme="majorHAnsi"/>
        </w:rPr>
      </w:pPr>
      <w:r w:rsidRPr="00E9083B">
        <w:rPr>
          <w:rFonts w:asciiTheme="majorHAnsi" w:hAnsiTheme="majorHAnsi"/>
        </w:rPr>
        <w:t>T</w:t>
      </w:r>
      <w:r w:rsidR="00EF4F97">
        <w:rPr>
          <w:rFonts w:asciiTheme="majorHAnsi" w:hAnsiTheme="majorHAnsi"/>
        </w:rPr>
        <w:t>he TE does not have an explicit section with lessons</w:t>
      </w:r>
      <w:r w:rsidR="00C43501">
        <w:rPr>
          <w:rFonts w:asciiTheme="majorHAnsi" w:hAnsiTheme="majorHAnsi"/>
        </w:rPr>
        <w:t xml:space="preserve"> learned, but does have extensive recommendations for the continuation of the project.</w:t>
      </w:r>
    </w:p>
    <w:p w14:paraId="6964FC73" w14:textId="77777777" w:rsidR="00CD0C6C" w:rsidRPr="00E9083B" w:rsidRDefault="00477B6D" w:rsidP="006714FC">
      <w:pPr>
        <w:pStyle w:val="Heading2"/>
      </w:pPr>
      <w:r w:rsidRPr="00E9083B">
        <w:t xml:space="preserve">8.2 Briefly describe the </w:t>
      </w:r>
      <w:r w:rsidR="001A7856" w:rsidRPr="00E9083B">
        <w:t>recommendations</w:t>
      </w:r>
      <w:r w:rsidRPr="00E9083B">
        <w:t xml:space="preserve"> given in the terminal evaluation.</w:t>
      </w:r>
    </w:p>
    <w:p w14:paraId="41E45546" w14:textId="221D9D8E" w:rsidR="006714FC" w:rsidRDefault="009A7146" w:rsidP="009A7146">
      <w:pPr>
        <w:spacing w:line="240" w:lineRule="auto"/>
        <w:ind w:firstLine="720"/>
        <w:rPr>
          <w:rFonts w:asciiTheme="majorHAnsi" w:hAnsiTheme="majorHAnsi"/>
        </w:rPr>
      </w:pPr>
      <w:r>
        <w:rPr>
          <w:rFonts w:asciiTheme="majorHAnsi" w:hAnsiTheme="majorHAnsi"/>
        </w:rPr>
        <w:t>The TE lists the following major recommendations (pg. 14-15):</w:t>
      </w:r>
    </w:p>
    <w:p w14:paraId="0EDECB8D" w14:textId="3263B912" w:rsidR="009A7146" w:rsidRPr="009A7146" w:rsidRDefault="009A7146" w:rsidP="00DD0509">
      <w:pPr>
        <w:spacing w:line="240" w:lineRule="auto"/>
        <w:ind w:left="720"/>
        <w:rPr>
          <w:rFonts w:asciiTheme="majorHAnsi" w:hAnsiTheme="majorHAnsi"/>
        </w:rPr>
      </w:pPr>
      <w:r>
        <w:rPr>
          <w:rFonts w:asciiTheme="majorHAnsi" w:hAnsiTheme="majorHAnsi"/>
        </w:rPr>
        <w:t xml:space="preserve">Because of its legal status and overall respect in the area, PEMSEA should be given the ongoing responsibility and funding for a programmatic approach for regionally based activities in the East Asia Seas. </w:t>
      </w:r>
      <w:r w:rsidRPr="009A7146">
        <w:rPr>
          <w:rFonts w:asciiTheme="majorHAnsi" w:hAnsiTheme="majorHAnsi"/>
        </w:rPr>
        <w:t xml:space="preserve">PEMSEA </w:t>
      </w:r>
      <w:r>
        <w:rPr>
          <w:rFonts w:asciiTheme="majorHAnsi" w:hAnsiTheme="majorHAnsi"/>
        </w:rPr>
        <w:t>should continue its</w:t>
      </w:r>
      <w:r w:rsidR="00DD0509">
        <w:rPr>
          <w:rFonts w:asciiTheme="majorHAnsi" w:hAnsiTheme="majorHAnsi"/>
        </w:rPr>
        <w:t xml:space="preserve"> “bottom up” approach (i.e.</w:t>
      </w:r>
      <w:r w:rsidRPr="009A7146">
        <w:rPr>
          <w:rFonts w:asciiTheme="majorHAnsi" w:hAnsiTheme="majorHAnsi"/>
        </w:rPr>
        <w:t xml:space="preserve"> its focus on loca</w:t>
      </w:r>
      <w:r w:rsidR="00DD0509">
        <w:rPr>
          <w:rFonts w:asciiTheme="majorHAnsi" w:hAnsiTheme="majorHAnsi"/>
        </w:rPr>
        <w:t xml:space="preserve">l level, on-the-ground actions) and it should continue to serve as a link </w:t>
      </w:r>
      <w:r w:rsidRPr="009A7146">
        <w:rPr>
          <w:rFonts w:asciiTheme="majorHAnsi" w:hAnsiTheme="majorHAnsi"/>
        </w:rPr>
        <w:t xml:space="preserve">between locally driven efforts and policy level personnel in the respective central governments of the participating countries. </w:t>
      </w:r>
    </w:p>
    <w:p w14:paraId="7CB71C85" w14:textId="17CE1833" w:rsidR="00DD0509" w:rsidRDefault="00DD0509" w:rsidP="00DD0509">
      <w:pPr>
        <w:spacing w:line="240" w:lineRule="auto"/>
        <w:ind w:left="720"/>
        <w:rPr>
          <w:rFonts w:asciiTheme="majorHAnsi" w:hAnsiTheme="majorHAnsi"/>
        </w:rPr>
      </w:pPr>
      <w:r>
        <w:rPr>
          <w:rFonts w:asciiTheme="majorHAnsi" w:hAnsiTheme="majorHAnsi"/>
        </w:rPr>
        <w:t>Because there may be a p</w:t>
      </w:r>
      <w:r w:rsidR="009A7146" w:rsidRPr="009A7146">
        <w:rPr>
          <w:rFonts w:asciiTheme="majorHAnsi" w:hAnsiTheme="majorHAnsi"/>
        </w:rPr>
        <w:t xml:space="preserve">ossible gap in funding between Phase </w:t>
      </w:r>
      <w:r>
        <w:rPr>
          <w:rFonts w:asciiTheme="majorHAnsi" w:hAnsiTheme="majorHAnsi"/>
        </w:rPr>
        <w:t xml:space="preserve">3 </w:t>
      </w:r>
      <w:r w:rsidR="009A7146" w:rsidRPr="009A7146">
        <w:rPr>
          <w:rFonts w:asciiTheme="majorHAnsi" w:hAnsiTheme="majorHAnsi"/>
        </w:rPr>
        <w:t xml:space="preserve">Phase </w:t>
      </w:r>
      <w:r>
        <w:rPr>
          <w:rFonts w:asciiTheme="majorHAnsi" w:hAnsiTheme="majorHAnsi"/>
        </w:rPr>
        <w:t xml:space="preserve">4, </w:t>
      </w:r>
      <w:r w:rsidR="009A7146" w:rsidRPr="009A7146">
        <w:rPr>
          <w:rFonts w:asciiTheme="majorHAnsi" w:hAnsiTheme="majorHAnsi"/>
        </w:rPr>
        <w:t>the UNDP</w:t>
      </w:r>
      <w:r>
        <w:rPr>
          <w:rFonts w:asciiTheme="majorHAnsi" w:hAnsiTheme="majorHAnsi"/>
        </w:rPr>
        <w:t xml:space="preserve"> and PEMSEA should</w:t>
      </w:r>
      <w:r w:rsidR="009A7146" w:rsidRPr="009A7146">
        <w:rPr>
          <w:rFonts w:asciiTheme="majorHAnsi" w:hAnsiTheme="majorHAnsi"/>
        </w:rPr>
        <w:t xml:space="preserve"> jointly undertake contingency planning to assure </w:t>
      </w:r>
      <w:r>
        <w:rPr>
          <w:rFonts w:asciiTheme="majorHAnsi" w:hAnsiTheme="majorHAnsi"/>
        </w:rPr>
        <w:t xml:space="preserve">that </w:t>
      </w:r>
      <w:r w:rsidR="009A7146" w:rsidRPr="009A7146">
        <w:rPr>
          <w:rFonts w:asciiTheme="majorHAnsi" w:hAnsiTheme="majorHAnsi"/>
        </w:rPr>
        <w:t>core staff and critical program</w:t>
      </w:r>
      <w:r>
        <w:rPr>
          <w:rFonts w:asciiTheme="majorHAnsi" w:hAnsiTheme="majorHAnsi"/>
        </w:rPr>
        <w:t xml:space="preserve"> functions are</w:t>
      </w:r>
      <w:r w:rsidR="009A7146" w:rsidRPr="009A7146">
        <w:rPr>
          <w:rFonts w:asciiTheme="majorHAnsi" w:hAnsiTheme="majorHAnsi"/>
        </w:rPr>
        <w:t xml:space="preserve"> maintained. </w:t>
      </w:r>
      <w:r>
        <w:rPr>
          <w:rFonts w:asciiTheme="majorHAnsi" w:hAnsiTheme="majorHAnsi"/>
        </w:rPr>
        <w:t xml:space="preserve">  The salaries of the remaining PEMSEA employees should be covered through project activity funds instead of core funding.  UNDP and PEMSEA should convene a donor conference to recruit donors to ensure the long term sustainability of PEMSEA.</w:t>
      </w:r>
    </w:p>
    <w:p w14:paraId="4969355F" w14:textId="020A9CB3" w:rsidR="00DD0509" w:rsidRDefault="00DD0509" w:rsidP="00DD0509">
      <w:pPr>
        <w:spacing w:line="240" w:lineRule="auto"/>
        <w:ind w:left="720"/>
        <w:rPr>
          <w:rFonts w:asciiTheme="majorHAnsi" w:hAnsiTheme="majorHAnsi"/>
        </w:rPr>
      </w:pPr>
      <w:r>
        <w:rPr>
          <w:rFonts w:asciiTheme="majorHAnsi" w:hAnsiTheme="majorHAnsi"/>
        </w:rPr>
        <w:t xml:space="preserve">The TE recommends that PEMSEA should address the 15 “challenges” identified in the terminal evaluation, as well as improve M&amp;E stakeholder consultation, </w:t>
      </w:r>
      <w:r w:rsidR="00A57CD3">
        <w:rPr>
          <w:rFonts w:asciiTheme="majorHAnsi" w:hAnsiTheme="majorHAnsi"/>
        </w:rPr>
        <w:t xml:space="preserve">and </w:t>
      </w:r>
      <w:r w:rsidR="00143368">
        <w:rPr>
          <w:rFonts w:asciiTheme="majorHAnsi" w:hAnsiTheme="majorHAnsi"/>
        </w:rPr>
        <w:t>make “State of the Coast</w:t>
      </w:r>
      <w:r>
        <w:rPr>
          <w:rFonts w:asciiTheme="majorHAnsi" w:hAnsiTheme="majorHAnsi"/>
        </w:rPr>
        <w:t xml:space="preserve"> Reporting” a permanent activity</w:t>
      </w:r>
      <w:r w:rsidR="00A57CD3">
        <w:rPr>
          <w:rFonts w:asciiTheme="majorHAnsi" w:hAnsiTheme="majorHAnsi"/>
        </w:rPr>
        <w:t>.  Moving forward, PEMSEA should focus much of its interventions on reinforcing and building upon the successful initiatives already begun, for example, the implementation of ICM in all levels of government in participating countries.</w:t>
      </w:r>
    </w:p>
    <w:p w14:paraId="1EF95F4E" w14:textId="77777777" w:rsidR="00EF4F97" w:rsidRDefault="00EF4F97" w:rsidP="00EF4F97">
      <w:pPr>
        <w:spacing w:line="240" w:lineRule="auto"/>
        <w:ind w:firstLine="720"/>
        <w:rPr>
          <w:rFonts w:asciiTheme="majorHAnsi" w:hAnsiTheme="majorHAnsi"/>
        </w:rPr>
      </w:pPr>
      <w:r>
        <w:rPr>
          <w:rFonts w:asciiTheme="majorHAnsi" w:hAnsiTheme="majorHAnsi"/>
        </w:rPr>
        <w:t>The TE also makes the following recommendations:</w:t>
      </w:r>
    </w:p>
    <w:p w14:paraId="1D8EFF63" w14:textId="430A81CB" w:rsidR="00EF4F97" w:rsidRPr="00EF4F97" w:rsidRDefault="00EF4F97" w:rsidP="00EF4F97">
      <w:pPr>
        <w:pStyle w:val="ListParagraph"/>
        <w:numPr>
          <w:ilvl w:val="0"/>
          <w:numId w:val="8"/>
        </w:numPr>
        <w:spacing w:line="240" w:lineRule="auto"/>
        <w:rPr>
          <w:rFonts w:asciiTheme="majorHAnsi" w:hAnsiTheme="majorHAnsi"/>
        </w:rPr>
      </w:pPr>
      <w:r w:rsidRPr="00EF4F97">
        <w:rPr>
          <w:rFonts w:asciiTheme="majorHAnsi" w:hAnsiTheme="majorHAnsi"/>
        </w:rPr>
        <w:t>The PNLG is an excellent mechanism to build capacity and confidence in local government authorities to manage their problems through direct action and request more devolution of authority and funding for community-based activities.</w:t>
      </w:r>
    </w:p>
    <w:p w14:paraId="01AFB217" w14:textId="77777777" w:rsidR="00EF4F97" w:rsidRDefault="00EF4F97" w:rsidP="00EF4F97">
      <w:pPr>
        <w:pStyle w:val="ListParagraph"/>
        <w:spacing w:line="240" w:lineRule="auto"/>
        <w:ind w:left="1080"/>
        <w:rPr>
          <w:rFonts w:asciiTheme="majorHAnsi" w:hAnsiTheme="majorHAnsi"/>
        </w:rPr>
      </w:pPr>
    </w:p>
    <w:p w14:paraId="11E84099" w14:textId="77777777" w:rsidR="00EF4F97" w:rsidRDefault="00EF4F97" w:rsidP="00EF4F97">
      <w:pPr>
        <w:pStyle w:val="ListParagraph"/>
        <w:numPr>
          <w:ilvl w:val="0"/>
          <w:numId w:val="8"/>
        </w:numPr>
        <w:spacing w:line="240" w:lineRule="auto"/>
        <w:rPr>
          <w:rFonts w:asciiTheme="majorHAnsi" w:hAnsiTheme="majorHAnsi"/>
        </w:rPr>
      </w:pPr>
      <w:r w:rsidRPr="00EF4F97">
        <w:rPr>
          <w:rFonts w:asciiTheme="majorHAnsi" w:hAnsiTheme="majorHAnsi"/>
        </w:rPr>
        <w:t>There should be a greater emphasis on the docu</w:t>
      </w:r>
      <w:r>
        <w:rPr>
          <w:rFonts w:asciiTheme="majorHAnsi" w:hAnsiTheme="majorHAnsi"/>
        </w:rPr>
        <w:t xml:space="preserve">mentation of lessons learned </w:t>
      </w:r>
      <w:r w:rsidRPr="00EF4F97">
        <w:rPr>
          <w:rFonts w:asciiTheme="majorHAnsi" w:hAnsiTheme="majorHAnsi"/>
        </w:rPr>
        <w:t>to establish demonstration and parallel sites in adjacent regions</w:t>
      </w:r>
      <w:r>
        <w:rPr>
          <w:rFonts w:asciiTheme="majorHAnsi" w:hAnsiTheme="majorHAnsi"/>
        </w:rPr>
        <w:t>.</w:t>
      </w:r>
    </w:p>
    <w:p w14:paraId="4C4FD6E0" w14:textId="77777777" w:rsidR="00EF4F97" w:rsidRDefault="00EF4F97" w:rsidP="00EF4F97">
      <w:pPr>
        <w:pStyle w:val="ListParagraph"/>
        <w:spacing w:line="240" w:lineRule="auto"/>
        <w:ind w:left="1080"/>
        <w:rPr>
          <w:rFonts w:asciiTheme="majorHAnsi" w:hAnsiTheme="majorHAnsi"/>
        </w:rPr>
      </w:pPr>
    </w:p>
    <w:p w14:paraId="1602F9F0" w14:textId="77777777" w:rsidR="00EF4F97" w:rsidRPr="00EF4F97" w:rsidRDefault="00EF4F97" w:rsidP="00EF4F97">
      <w:pPr>
        <w:pStyle w:val="ListParagraph"/>
        <w:numPr>
          <w:ilvl w:val="0"/>
          <w:numId w:val="8"/>
        </w:numPr>
        <w:spacing w:line="240" w:lineRule="auto"/>
        <w:rPr>
          <w:rFonts w:asciiTheme="majorHAnsi" w:hAnsiTheme="majorHAnsi"/>
        </w:rPr>
      </w:pPr>
      <w:r w:rsidRPr="00EF4F97">
        <w:rPr>
          <w:rFonts w:asciiTheme="majorHAnsi" w:hAnsiTheme="majorHAnsi"/>
        </w:rPr>
        <w:t>Efforts could be undertaken to ensure that ICM principles and practices are extended into catchment areas to tackle non-point sources of pollution. This may require modification of ICM guidelines to replace ‘coastal’ with ‘catchment.’</w:t>
      </w:r>
    </w:p>
    <w:p w14:paraId="5A505C2F" w14:textId="77777777" w:rsidR="00EF4F97" w:rsidRDefault="00EF4F97" w:rsidP="00EF4F97">
      <w:pPr>
        <w:pStyle w:val="ListParagraph"/>
        <w:spacing w:line="240" w:lineRule="auto"/>
        <w:ind w:left="1080"/>
        <w:rPr>
          <w:rFonts w:asciiTheme="majorHAnsi" w:hAnsiTheme="majorHAnsi"/>
        </w:rPr>
      </w:pPr>
    </w:p>
    <w:p w14:paraId="76C1A859" w14:textId="14BBBFB7" w:rsidR="00EF4F97" w:rsidRPr="00EF4F97" w:rsidRDefault="00EF4F97" w:rsidP="00EF4F97">
      <w:pPr>
        <w:pStyle w:val="ListParagraph"/>
        <w:numPr>
          <w:ilvl w:val="0"/>
          <w:numId w:val="8"/>
        </w:numPr>
        <w:spacing w:line="240" w:lineRule="auto"/>
        <w:rPr>
          <w:rFonts w:asciiTheme="majorHAnsi" w:hAnsiTheme="majorHAnsi"/>
        </w:rPr>
      </w:pPr>
      <w:r w:rsidRPr="00EF4F97">
        <w:rPr>
          <w:rFonts w:asciiTheme="majorHAnsi" w:hAnsiTheme="majorHAnsi"/>
        </w:rPr>
        <w:t>Suggestions to extend into Burma, Sabah and Sarawak, and into the Pacific should be resisted unless there are clear promises of additional funding for staffing, operations and logistics.</w:t>
      </w:r>
    </w:p>
    <w:p w14:paraId="2224D085" w14:textId="77777777" w:rsidR="001A7856" w:rsidRPr="00E9083B" w:rsidRDefault="00CD0C6C" w:rsidP="00CD0C6C">
      <w:pPr>
        <w:rPr>
          <w:rFonts w:asciiTheme="majorHAnsi" w:hAnsiTheme="majorHAnsi"/>
          <w:i/>
        </w:rPr>
      </w:pPr>
      <w:r w:rsidRPr="00E9083B">
        <w:rPr>
          <w:rFonts w:asciiTheme="majorHAnsi" w:hAnsiTheme="majorHAnsi"/>
          <w:i/>
        </w:rPr>
        <w:br w:type="page"/>
      </w:r>
    </w:p>
    <w:p w14:paraId="79603563" w14:textId="77777777" w:rsidR="00225AE1" w:rsidRPr="00E9083B" w:rsidRDefault="00477B6D" w:rsidP="00477B6D">
      <w:pPr>
        <w:pStyle w:val="Heading1"/>
      </w:pPr>
      <w:r w:rsidRPr="00E9083B">
        <w:t xml:space="preserve">9. </w:t>
      </w:r>
      <w:r w:rsidR="00225AE1" w:rsidRPr="00E9083B">
        <w:t>Quality of the Terminal Evaluation Report</w:t>
      </w:r>
    </w:p>
    <w:p w14:paraId="7AED0435" w14:textId="77777777" w:rsidR="000C6514" w:rsidRPr="001B4CCB" w:rsidRDefault="001B4CCB" w:rsidP="000C6514">
      <w:pPr>
        <w:rPr>
          <w:rFonts w:asciiTheme="majorHAnsi" w:hAnsiTheme="majorHAnsi"/>
        </w:rPr>
      </w:pPr>
      <w:r w:rsidRPr="00E9083B">
        <w:rPr>
          <w:rFonts w:asciiTheme="majorHAnsi" w:hAnsiTheme="majorHAnsi"/>
        </w:rPr>
        <w:t>A six point rating scale is used for each sub</w:t>
      </w:r>
      <w:r w:rsidR="00C72969" w:rsidRPr="00E9083B">
        <w:rPr>
          <w:rFonts w:asciiTheme="majorHAnsi" w:hAnsiTheme="majorHAnsi"/>
        </w:rPr>
        <w:t>-</w:t>
      </w:r>
      <w:r w:rsidRPr="00E9083B">
        <w:rPr>
          <w:rFonts w:asciiTheme="majorHAnsi" w:hAnsiTheme="majorHAnsi"/>
        </w:rPr>
        <w:t>criteria and overall</w:t>
      </w:r>
      <w:r>
        <w:rPr>
          <w:rFonts w:asciiTheme="majorHAnsi" w:hAnsiTheme="majorHAnsi"/>
        </w:rPr>
        <w:t xml:space="preserve">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4B03979D"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1C75F29" w14:textId="77777777" w:rsidR="00EE0545" w:rsidRPr="00B95050" w:rsidRDefault="00EE0545" w:rsidP="0080051F">
            <w:pPr>
              <w:rPr>
                <w:b w:val="0"/>
                <w:sz w:val="20"/>
                <w:szCs w:val="20"/>
              </w:rPr>
            </w:pPr>
            <w:r w:rsidRPr="00B95050">
              <w:rPr>
                <w:b w:val="0"/>
                <w:sz w:val="20"/>
                <w:szCs w:val="20"/>
              </w:rPr>
              <w:t>Criteria</w:t>
            </w:r>
          </w:p>
        </w:tc>
        <w:tc>
          <w:tcPr>
            <w:tcW w:w="5088" w:type="dxa"/>
            <w:tcBorders>
              <w:right w:val="single" w:sz="4" w:space="0" w:color="auto"/>
            </w:tcBorders>
          </w:tcPr>
          <w:p w14:paraId="089A961E" w14:textId="77777777" w:rsidR="00EE0545" w:rsidRPr="00B95050" w:rsidRDefault="00EE0545" w:rsidP="0080051F">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GEF EO comments</w:t>
            </w:r>
          </w:p>
        </w:tc>
        <w:tc>
          <w:tcPr>
            <w:tcW w:w="1329" w:type="dxa"/>
            <w:tcBorders>
              <w:top w:val="single" w:sz="4" w:space="0" w:color="auto"/>
              <w:left w:val="single" w:sz="4" w:space="0" w:color="auto"/>
              <w:bottom w:val="single" w:sz="4" w:space="0" w:color="auto"/>
              <w:right w:val="single" w:sz="4" w:space="0" w:color="auto"/>
            </w:tcBorders>
          </w:tcPr>
          <w:p w14:paraId="2D7DB7DE" w14:textId="77777777" w:rsidR="00EE0545" w:rsidRPr="00B95050" w:rsidRDefault="00EE0545" w:rsidP="008005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5170E086" w14:textId="77777777" w:rsidTr="001B0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3DC4550" w14:textId="77777777" w:rsidR="00EE0545" w:rsidRPr="00B95050" w:rsidRDefault="00EE0545" w:rsidP="0080051F">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tcPr>
          <w:p w14:paraId="145C01C1" w14:textId="3DF332CB" w:rsidR="00EE0545" w:rsidRPr="00685B85" w:rsidRDefault="001B00D0" w:rsidP="0009654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assesses the relevant outcome</w:t>
            </w:r>
            <w:r w:rsidR="0009654E">
              <w:rPr>
                <w:sz w:val="20"/>
                <w:szCs w:val="20"/>
              </w:rPr>
              <w:t xml:space="preserve">s and impacts of the project.  </w:t>
            </w:r>
            <w:r>
              <w:rPr>
                <w:sz w:val="20"/>
                <w:szCs w:val="20"/>
              </w:rPr>
              <w:t xml:space="preserve">A case study is provided in the annex. </w:t>
            </w:r>
            <w:r w:rsidR="0009654E">
              <w:rPr>
                <w:sz w:val="20"/>
                <w:szCs w:val="20"/>
              </w:rPr>
              <w:t>Examples from each country are provided throughout the report</w:t>
            </w:r>
            <w:r>
              <w:rPr>
                <w:sz w:val="20"/>
                <w:szCs w:val="20"/>
              </w:rPr>
              <w:t xml:space="preserve"> </w:t>
            </w:r>
          </w:p>
        </w:tc>
        <w:tc>
          <w:tcPr>
            <w:tcW w:w="1329" w:type="dxa"/>
            <w:tcBorders>
              <w:top w:val="single" w:sz="4" w:space="0" w:color="auto"/>
              <w:left w:val="single" w:sz="4" w:space="0" w:color="auto"/>
              <w:bottom w:val="single" w:sz="4" w:space="0" w:color="auto"/>
              <w:right w:val="single" w:sz="4" w:space="0" w:color="auto"/>
            </w:tcBorders>
            <w:vAlign w:val="center"/>
          </w:tcPr>
          <w:p w14:paraId="28BC0DF9" w14:textId="35F07C8C" w:rsidR="00EE0545" w:rsidRPr="00685B85" w:rsidRDefault="0009654E"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w:t>
            </w:r>
            <w:r w:rsidR="001B00D0">
              <w:rPr>
                <w:b/>
                <w:sz w:val="20"/>
                <w:szCs w:val="20"/>
              </w:rPr>
              <w:t>S</w:t>
            </w:r>
          </w:p>
        </w:tc>
      </w:tr>
      <w:tr w:rsidR="00EE0545" w:rsidRPr="00B95050" w14:paraId="43325318" w14:textId="77777777" w:rsidTr="001B00D0">
        <w:tc>
          <w:tcPr>
            <w:cnfStyle w:val="001000000000" w:firstRow="0" w:lastRow="0" w:firstColumn="1" w:lastColumn="0" w:oddVBand="0" w:evenVBand="0" w:oddHBand="0" w:evenHBand="0" w:firstRowFirstColumn="0" w:firstRowLastColumn="0" w:lastRowFirstColumn="0" w:lastRowLastColumn="0"/>
            <w:tcW w:w="3192" w:type="dxa"/>
          </w:tcPr>
          <w:p w14:paraId="72625110"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tcPr>
          <w:p w14:paraId="40CCD197" w14:textId="63F129D8" w:rsidR="00EE0545" w:rsidRPr="00685B85" w:rsidRDefault="001B00D0" w:rsidP="001B00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evidence presented in the report is complete and convincing.  The ratings given are sometimes inconsistent (Implementation is rated HS on pg. 20 and pg. 62, but S on pg. 45). Ratings in general are well substantiated.</w:t>
            </w:r>
            <w:r w:rsidR="00007F2D">
              <w:rPr>
                <w:sz w:val="20"/>
                <w:szCs w:val="20"/>
              </w:rPr>
              <w:t xml:space="preserve"> </w:t>
            </w:r>
          </w:p>
        </w:tc>
        <w:tc>
          <w:tcPr>
            <w:tcW w:w="1329" w:type="dxa"/>
            <w:tcBorders>
              <w:top w:val="single" w:sz="4" w:space="0" w:color="auto"/>
              <w:left w:val="single" w:sz="4" w:space="0" w:color="auto"/>
              <w:bottom w:val="single" w:sz="4" w:space="0" w:color="auto"/>
              <w:right w:val="single" w:sz="4" w:space="0" w:color="auto"/>
            </w:tcBorders>
            <w:vAlign w:val="center"/>
          </w:tcPr>
          <w:p w14:paraId="0C917496" w14:textId="59E9CB02" w:rsidR="00EE0545" w:rsidRPr="00685B85" w:rsidRDefault="001B00D0"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19D0A0B4" w14:textId="77777777" w:rsidTr="001B0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CAA86D3" w14:textId="77777777" w:rsidR="00EE0545" w:rsidRPr="00B95050" w:rsidRDefault="00EE0545" w:rsidP="0080051F">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tcPr>
          <w:p w14:paraId="350334F4" w14:textId="28786DD2" w:rsidR="00EE0545" w:rsidRPr="00685B85" w:rsidRDefault="0068387C" w:rsidP="001B00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properly addresses sustainability, and substantiates its assessment with many examples.</w:t>
            </w:r>
          </w:p>
        </w:tc>
        <w:tc>
          <w:tcPr>
            <w:tcW w:w="1329" w:type="dxa"/>
            <w:tcBorders>
              <w:top w:val="single" w:sz="4" w:space="0" w:color="auto"/>
              <w:left w:val="single" w:sz="4" w:space="0" w:color="auto"/>
              <w:bottom w:val="single" w:sz="4" w:space="0" w:color="auto"/>
              <w:right w:val="single" w:sz="4" w:space="0" w:color="auto"/>
            </w:tcBorders>
            <w:vAlign w:val="center"/>
          </w:tcPr>
          <w:p w14:paraId="5713487C" w14:textId="2F19CCA2" w:rsidR="00EE0545" w:rsidRPr="00685B85" w:rsidRDefault="0068387C"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HS</w:t>
            </w:r>
          </w:p>
        </w:tc>
      </w:tr>
      <w:tr w:rsidR="00EE0545" w:rsidRPr="00B95050" w14:paraId="1A83085D" w14:textId="77777777" w:rsidTr="001B00D0">
        <w:tc>
          <w:tcPr>
            <w:cnfStyle w:val="001000000000" w:firstRow="0" w:lastRow="0" w:firstColumn="1" w:lastColumn="0" w:oddVBand="0" w:evenVBand="0" w:oddHBand="0" w:evenHBand="0" w:firstRowFirstColumn="0" w:firstRowLastColumn="0" w:lastRowFirstColumn="0" w:lastRowLastColumn="0"/>
            <w:tcW w:w="3192" w:type="dxa"/>
          </w:tcPr>
          <w:p w14:paraId="73B1E331" w14:textId="77777777" w:rsidR="00EE0545" w:rsidRPr="00B95050" w:rsidRDefault="00EE0545" w:rsidP="0080051F">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tcPr>
          <w:p w14:paraId="0A65CBC9" w14:textId="0BCC374D" w:rsidR="00EE0545" w:rsidRPr="00685B85" w:rsidRDefault="0068387C" w:rsidP="001B00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 does not explicitly provide lessons learned, but does offer comprehensive recommendations that are well substantiated by evidence and examples.</w:t>
            </w:r>
          </w:p>
        </w:tc>
        <w:tc>
          <w:tcPr>
            <w:tcW w:w="1329" w:type="dxa"/>
            <w:tcBorders>
              <w:top w:val="single" w:sz="4" w:space="0" w:color="auto"/>
              <w:left w:val="single" w:sz="4" w:space="0" w:color="auto"/>
              <w:bottom w:val="single" w:sz="4" w:space="0" w:color="auto"/>
              <w:right w:val="single" w:sz="4" w:space="0" w:color="auto"/>
            </w:tcBorders>
            <w:vAlign w:val="center"/>
          </w:tcPr>
          <w:p w14:paraId="7E479098" w14:textId="34722D49" w:rsidR="00EE0545" w:rsidRPr="00685B85" w:rsidRDefault="0068387C"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1996692F" w14:textId="77777777" w:rsidTr="001B0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FE4960D" w14:textId="77777777" w:rsidR="00EE0545" w:rsidRPr="00B95050" w:rsidRDefault="00EE0545" w:rsidP="0080051F">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tcPr>
          <w:p w14:paraId="6F5D4863" w14:textId="17E07FA3" w:rsidR="00EE0545" w:rsidRPr="00685B85" w:rsidRDefault="001B00D0" w:rsidP="001B00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TE includes co-financing costs of each activity, broken down by country. </w:t>
            </w:r>
            <w:r w:rsidR="003F0501">
              <w:rPr>
                <w:sz w:val="20"/>
                <w:szCs w:val="20"/>
              </w:rPr>
              <w:t xml:space="preserve"> But there is no summary of project costs.</w:t>
            </w:r>
          </w:p>
        </w:tc>
        <w:tc>
          <w:tcPr>
            <w:tcW w:w="1329" w:type="dxa"/>
            <w:tcBorders>
              <w:top w:val="single" w:sz="4" w:space="0" w:color="auto"/>
              <w:left w:val="single" w:sz="4" w:space="0" w:color="auto"/>
              <w:bottom w:val="single" w:sz="4" w:space="0" w:color="auto"/>
              <w:right w:val="single" w:sz="4" w:space="0" w:color="auto"/>
            </w:tcBorders>
            <w:vAlign w:val="center"/>
          </w:tcPr>
          <w:p w14:paraId="68AEEBBC" w14:textId="1A8D4F9B" w:rsidR="00EE0545" w:rsidRPr="00685B85" w:rsidRDefault="003F0501"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14:paraId="6A9B6332" w14:textId="77777777" w:rsidTr="001B00D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3A4DFA67" w14:textId="77777777" w:rsidR="00EE0545" w:rsidRPr="00B95050" w:rsidRDefault="00EE0545" w:rsidP="0080051F">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tcPr>
          <w:p w14:paraId="5C8C2273" w14:textId="17939EB9" w:rsidR="00EE0545" w:rsidRPr="00685B85" w:rsidRDefault="001B00D0" w:rsidP="001B00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 adequately and comprehensively addresses M&amp;E design and implementation.</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0712783D" w14:textId="153CDF20" w:rsidR="00EE0545" w:rsidRPr="00685B85" w:rsidRDefault="001B00D0"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HS</w:t>
            </w:r>
          </w:p>
        </w:tc>
      </w:tr>
      <w:tr w:rsidR="001B4CCB" w:rsidRPr="00B95050" w14:paraId="74B96084"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6639675A" w14:textId="77777777" w:rsidR="001B4CCB" w:rsidRPr="00B95050" w:rsidRDefault="001B4CCB" w:rsidP="0080051F">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433EE101"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5E4AC01F" w14:textId="21BD36FB" w:rsidR="001B4CCB" w:rsidRPr="00685B85" w:rsidRDefault="0019286A"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bl>
    <w:p w14:paraId="06B8A071" w14:textId="77777777" w:rsidR="00225AE1" w:rsidRDefault="00225AE1" w:rsidP="00225AE1">
      <w:pPr>
        <w:tabs>
          <w:tab w:val="left" w:pos="900"/>
        </w:tabs>
        <w:rPr>
          <w:b/>
        </w:rPr>
      </w:pPr>
    </w:p>
    <w:p w14:paraId="73EFC585" w14:textId="77777777" w:rsidR="00287B8E" w:rsidRDefault="00287B8E" w:rsidP="00287B8E">
      <w:pPr>
        <w:tabs>
          <w:tab w:val="left" w:pos="900"/>
        </w:tabs>
        <w:rPr>
          <w:rFonts w:asciiTheme="majorHAnsi" w:hAnsiTheme="majorHAnsi"/>
          <w:b/>
        </w:rPr>
      </w:pPr>
      <w:r w:rsidRPr="005733ED">
        <w:rPr>
          <w:rFonts w:asciiTheme="majorHAnsi" w:hAnsiTheme="majorHAnsi"/>
          <w:b/>
        </w:rPr>
        <w:t>0.3 × (a + b) + 0.1 × (c + d + e + f)</w:t>
      </w:r>
    </w:p>
    <w:p w14:paraId="5079818B" w14:textId="6D90DAEF" w:rsidR="00287B8E" w:rsidRPr="00225AE1" w:rsidRDefault="008E63E8" w:rsidP="00225AE1">
      <w:pPr>
        <w:tabs>
          <w:tab w:val="left" w:pos="900"/>
        </w:tabs>
        <w:rPr>
          <w:b/>
        </w:rPr>
      </w:pPr>
      <w:r>
        <w:rPr>
          <w:b/>
        </w:rPr>
        <w:t>0.3(11) + 0.1(20)</w:t>
      </w:r>
      <w:r w:rsidR="0019286A">
        <w:rPr>
          <w:b/>
        </w:rPr>
        <w:t xml:space="preserve"> = 5.2</w:t>
      </w:r>
      <w:r w:rsidR="00D17A2D">
        <w:rPr>
          <w:b/>
        </w:rPr>
        <w:t xml:space="preserve"> = S</w:t>
      </w:r>
    </w:p>
    <w:p w14:paraId="606B7FA5" w14:textId="77777777" w:rsidR="00902E96" w:rsidRPr="00217417" w:rsidRDefault="00EE0545" w:rsidP="00EE0545">
      <w:pPr>
        <w:pStyle w:val="Heading1"/>
      </w:pPr>
      <w:r>
        <w:t>10. Note any additional sources of information used in the preparation of the terminal evaluation report (excluding PIRs, TEs, and PADs).</w:t>
      </w:r>
    </w:p>
    <w:p w14:paraId="170CC817" w14:textId="77777777" w:rsidR="00926AA6" w:rsidRDefault="00926AA6" w:rsidP="00926AA6">
      <w:pPr>
        <w:ind w:left="810" w:hanging="450"/>
        <w:rPr>
          <w:i/>
        </w:rPr>
      </w:pPr>
    </w:p>
    <w:p w14:paraId="6064EA74" w14:textId="77777777" w:rsidR="00926AA6" w:rsidRPr="00926AA6" w:rsidRDefault="00926AA6" w:rsidP="00926AA6">
      <w:pPr>
        <w:ind w:left="810" w:hanging="450"/>
        <w:rPr>
          <w:i/>
        </w:rPr>
      </w:pPr>
      <w:r w:rsidRPr="00926AA6">
        <w:rPr>
          <w:i/>
        </w:rPr>
        <w:t>This TER was completed using:</w:t>
      </w:r>
    </w:p>
    <w:p w14:paraId="38ED6C59" w14:textId="1D87A95C" w:rsidR="00217417" w:rsidRDefault="00926AA6" w:rsidP="00926AA6">
      <w:pPr>
        <w:ind w:left="810" w:hanging="450"/>
        <w:rPr>
          <w:i/>
        </w:rPr>
      </w:pPr>
      <w:r w:rsidRPr="00AD3EFC">
        <w:rPr>
          <w:i/>
        </w:rPr>
        <w:t>•</w:t>
      </w:r>
      <w:r w:rsidRPr="00AD3EFC">
        <w:rPr>
          <w:i/>
        </w:rPr>
        <w:tab/>
        <w:t xml:space="preserve">Project Document for CEO Approval </w:t>
      </w:r>
    </w:p>
    <w:p w14:paraId="2B475972" w14:textId="7035332F" w:rsidR="002D5442" w:rsidRPr="002D5442" w:rsidRDefault="002D5442" w:rsidP="002D5442">
      <w:pPr>
        <w:pStyle w:val="ListParagraph"/>
        <w:numPr>
          <w:ilvl w:val="0"/>
          <w:numId w:val="9"/>
        </w:numPr>
        <w:rPr>
          <w:i/>
        </w:rPr>
      </w:pPr>
      <w:r w:rsidRPr="002D5442">
        <w:rPr>
          <w:i/>
        </w:rPr>
        <w:t>Request for CEO Endorsement/Approval</w:t>
      </w:r>
    </w:p>
    <w:p w14:paraId="4E2F2F0E" w14:textId="77777777" w:rsidR="002D5442" w:rsidRPr="002D5442" w:rsidRDefault="002D5442" w:rsidP="002D5442">
      <w:pPr>
        <w:pStyle w:val="ListParagraph"/>
        <w:rPr>
          <w:i/>
        </w:rPr>
      </w:pPr>
    </w:p>
    <w:sectPr w:rsidR="002D5442" w:rsidRPr="002D54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C787" w14:textId="77777777" w:rsidR="00B47D27" w:rsidRDefault="00B47D27" w:rsidP="00D62957">
      <w:pPr>
        <w:spacing w:after="0" w:line="240" w:lineRule="auto"/>
      </w:pPr>
      <w:r>
        <w:separator/>
      </w:r>
    </w:p>
  </w:endnote>
  <w:endnote w:type="continuationSeparator" w:id="0">
    <w:p w14:paraId="24807F65" w14:textId="77777777" w:rsidR="00B47D27" w:rsidRDefault="00B47D27"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8847"/>
      <w:docPartObj>
        <w:docPartGallery w:val="Page Numbers (Bottom of Page)"/>
        <w:docPartUnique/>
      </w:docPartObj>
    </w:sdtPr>
    <w:sdtEndPr>
      <w:rPr>
        <w:noProof/>
      </w:rPr>
    </w:sdtEndPr>
    <w:sdtContent>
      <w:p w14:paraId="2B2EE955" w14:textId="440EF756" w:rsidR="00D71318" w:rsidRDefault="00D71318">
        <w:pPr>
          <w:pStyle w:val="Footer"/>
          <w:jc w:val="right"/>
        </w:pPr>
        <w:r>
          <w:fldChar w:fldCharType="begin"/>
        </w:r>
        <w:r>
          <w:instrText xml:space="preserve"> PAGE   \* MERGEFORMAT </w:instrText>
        </w:r>
        <w:r>
          <w:fldChar w:fldCharType="separate"/>
        </w:r>
        <w:r w:rsidR="00B47D27">
          <w:rPr>
            <w:noProof/>
          </w:rPr>
          <w:t>1</w:t>
        </w:r>
        <w:r>
          <w:rPr>
            <w:noProof/>
          </w:rPr>
          <w:fldChar w:fldCharType="end"/>
        </w:r>
      </w:p>
    </w:sdtContent>
  </w:sdt>
  <w:p w14:paraId="41BA3EDD" w14:textId="77777777" w:rsidR="00D71318" w:rsidRDefault="00D71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446F" w14:textId="77777777" w:rsidR="00B47D27" w:rsidRDefault="00B47D27" w:rsidP="00D62957">
      <w:pPr>
        <w:spacing w:after="0" w:line="240" w:lineRule="auto"/>
      </w:pPr>
      <w:r>
        <w:separator/>
      </w:r>
    </w:p>
  </w:footnote>
  <w:footnote w:type="continuationSeparator" w:id="0">
    <w:p w14:paraId="398A6988" w14:textId="77777777" w:rsidR="00B47D27" w:rsidRDefault="00B47D27" w:rsidP="00D6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F85467"/>
    <w:multiLevelType w:val="hybridMultilevel"/>
    <w:tmpl w:val="B9162C06"/>
    <w:lvl w:ilvl="0" w:tplc="99CA73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EF667A"/>
    <w:multiLevelType w:val="hybridMultilevel"/>
    <w:tmpl w:val="2782F2E8"/>
    <w:lvl w:ilvl="0" w:tplc="A2EE0B1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8"/>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19"/>
    <w:rsid w:val="00007F2D"/>
    <w:rsid w:val="00020854"/>
    <w:rsid w:val="000218A0"/>
    <w:rsid w:val="00023DC8"/>
    <w:rsid w:val="0003326C"/>
    <w:rsid w:val="00037100"/>
    <w:rsid w:val="00040789"/>
    <w:rsid w:val="00046FCF"/>
    <w:rsid w:val="0004769F"/>
    <w:rsid w:val="0005502A"/>
    <w:rsid w:val="0006141A"/>
    <w:rsid w:val="00062800"/>
    <w:rsid w:val="0007019B"/>
    <w:rsid w:val="00070272"/>
    <w:rsid w:val="00072456"/>
    <w:rsid w:val="000754BD"/>
    <w:rsid w:val="000764CC"/>
    <w:rsid w:val="00080271"/>
    <w:rsid w:val="00081293"/>
    <w:rsid w:val="00081D9E"/>
    <w:rsid w:val="00086808"/>
    <w:rsid w:val="000913DA"/>
    <w:rsid w:val="0009654E"/>
    <w:rsid w:val="00097547"/>
    <w:rsid w:val="000977E8"/>
    <w:rsid w:val="000A69A9"/>
    <w:rsid w:val="000B3320"/>
    <w:rsid w:val="000B3F8C"/>
    <w:rsid w:val="000C0A75"/>
    <w:rsid w:val="000C5616"/>
    <w:rsid w:val="000C6514"/>
    <w:rsid w:val="000D2911"/>
    <w:rsid w:val="000D34AB"/>
    <w:rsid w:val="000D3731"/>
    <w:rsid w:val="000E2309"/>
    <w:rsid w:val="000E2D31"/>
    <w:rsid w:val="000E6BB7"/>
    <w:rsid w:val="000F0EDB"/>
    <w:rsid w:val="001014C3"/>
    <w:rsid w:val="00106D13"/>
    <w:rsid w:val="00107037"/>
    <w:rsid w:val="00116592"/>
    <w:rsid w:val="0012545D"/>
    <w:rsid w:val="00131A37"/>
    <w:rsid w:val="00136EAE"/>
    <w:rsid w:val="00143368"/>
    <w:rsid w:val="001472E0"/>
    <w:rsid w:val="00147D16"/>
    <w:rsid w:val="0015434B"/>
    <w:rsid w:val="00154AA8"/>
    <w:rsid w:val="00156678"/>
    <w:rsid w:val="001574E3"/>
    <w:rsid w:val="00157AF4"/>
    <w:rsid w:val="00163CE8"/>
    <w:rsid w:val="0016445C"/>
    <w:rsid w:val="001662EE"/>
    <w:rsid w:val="001710F0"/>
    <w:rsid w:val="001719B7"/>
    <w:rsid w:val="0017295A"/>
    <w:rsid w:val="00181158"/>
    <w:rsid w:val="0018695F"/>
    <w:rsid w:val="00191CB9"/>
    <w:rsid w:val="0019286A"/>
    <w:rsid w:val="00193F9A"/>
    <w:rsid w:val="00196702"/>
    <w:rsid w:val="001A7856"/>
    <w:rsid w:val="001A7F50"/>
    <w:rsid w:val="001B00D0"/>
    <w:rsid w:val="001B07F3"/>
    <w:rsid w:val="001B32CC"/>
    <w:rsid w:val="001B4CCB"/>
    <w:rsid w:val="001C529C"/>
    <w:rsid w:val="001D5DED"/>
    <w:rsid w:val="001D62B9"/>
    <w:rsid w:val="001D794C"/>
    <w:rsid w:val="001E0787"/>
    <w:rsid w:val="001E2235"/>
    <w:rsid w:val="001E3835"/>
    <w:rsid w:val="001E6CB5"/>
    <w:rsid w:val="001E74D4"/>
    <w:rsid w:val="001F594A"/>
    <w:rsid w:val="001F6350"/>
    <w:rsid w:val="00204C5E"/>
    <w:rsid w:val="00207D05"/>
    <w:rsid w:val="00211EA9"/>
    <w:rsid w:val="00215C35"/>
    <w:rsid w:val="00217417"/>
    <w:rsid w:val="00225AE1"/>
    <w:rsid w:val="0022787B"/>
    <w:rsid w:val="0023163C"/>
    <w:rsid w:val="00236193"/>
    <w:rsid w:val="002563E8"/>
    <w:rsid w:val="0025684F"/>
    <w:rsid w:val="0026100F"/>
    <w:rsid w:val="00264EFF"/>
    <w:rsid w:val="00275183"/>
    <w:rsid w:val="00275496"/>
    <w:rsid w:val="00280BF2"/>
    <w:rsid w:val="00287B8E"/>
    <w:rsid w:val="00287E73"/>
    <w:rsid w:val="00291487"/>
    <w:rsid w:val="00292642"/>
    <w:rsid w:val="00293CEA"/>
    <w:rsid w:val="00297690"/>
    <w:rsid w:val="002A044E"/>
    <w:rsid w:val="002A1E78"/>
    <w:rsid w:val="002B2062"/>
    <w:rsid w:val="002B491E"/>
    <w:rsid w:val="002B7104"/>
    <w:rsid w:val="002C0508"/>
    <w:rsid w:val="002D290C"/>
    <w:rsid w:val="002D49AF"/>
    <w:rsid w:val="002D5442"/>
    <w:rsid w:val="002E01C2"/>
    <w:rsid w:val="002E324F"/>
    <w:rsid w:val="002E352D"/>
    <w:rsid w:val="002F76C3"/>
    <w:rsid w:val="0032201A"/>
    <w:rsid w:val="00327C3E"/>
    <w:rsid w:val="0033316A"/>
    <w:rsid w:val="003376DF"/>
    <w:rsid w:val="00341B11"/>
    <w:rsid w:val="00351C6D"/>
    <w:rsid w:val="003579F5"/>
    <w:rsid w:val="00360427"/>
    <w:rsid w:val="00365EC7"/>
    <w:rsid w:val="00373798"/>
    <w:rsid w:val="003740AD"/>
    <w:rsid w:val="00376F86"/>
    <w:rsid w:val="00377717"/>
    <w:rsid w:val="003821A1"/>
    <w:rsid w:val="003845A8"/>
    <w:rsid w:val="003907BB"/>
    <w:rsid w:val="003919FC"/>
    <w:rsid w:val="00395CCE"/>
    <w:rsid w:val="003963BF"/>
    <w:rsid w:val="003A0DAA"/>
    <w:rsid w:val="003A207F"/>
    <w:rsid w:val="003A48A0"/>
    <w:rsid w:val="003B5095"/>
    <w:rsid w:val="003C1152"/>
    <w:rsid w:val="003C1D57"/>
    <w:rsid w:val="003C4EE5"/>
    <w:rsid w:val="003D16FD"/>
    <w:rsid w:val="003F0501"/>
    <w:rsid w:val="00400A80"/>
    <w:rsid w:val="0040193E"/>
    <w:rsid w:val="00401FA6"/>
    <w:rsid w:val="0040236B"/>
    <w:rsid w:val="00403512"/>
    <w:rsid w:val="0040472B"/>
    <w:rsid w:val="004104BD"/>
    <w:rsid w:val="00411B65"/>
    <w:rsid w:val="00414563"/>
    <w:rsid w:val="00415123"/>
    <w:rsid w:val="00416A1D"/>
    <w:rsid w:val="00422ED6"/>
    <w:rsid w:val="00424B81"/>
    <w:rsid w:val="00425A89"/>
    <w:rsid w:val="00430A1F"/>
    <w:rsid w:val="00437C2B"/>
    <w:rsid w:val="00442A2C"/>
    <w:rsid w:val="004479CE"/>
    <w:rsid w:val="004503B6"/>
    <w:rsid w:val="00453062"/>
    <w:rsid w:val="0046021A"/>
    <w:rsid w:val="0046082B"/>
    <w:rsid w:val="004629C4"/>
    <w:rsid w:val="00474E88"/>
    <w:rsid w:val="00477B6D"/>
    <w:rsid w:val="00482D00"/>
    <w:rsid w:val="00486E13"/>
    <w:rsid w:val="0049194E"/>
    <w:rsid w:val="004A08F6"/>
    <w:rsid w:val="004A134B"/>
    <w:rsid w:val="004A6BB9"/>
    <w:rsid w:val="004C1CBC"/>
    <w:rsid w:val="004D4D01"/>
    <w:rsid w:val="004D5C35"/>
    <w:rsid w:val="004D6185"/>
    <w:rsid w:val="004D7A01"/>
    <w:rsid w:val="004E30FF"/>
    <w:rsid w:val="004E465A"/>
    <w:rsid w:val="004E5809"/>
    <w:rsid w:val="004E671E"/>
    <w:rsid w:val="004E7224"/>
    <w:rsid w:val="004E781B"/>
    <w:rsid w:val="004F0773"/>
    <w:rsid w:val="004F2403"/>
    <w:rsid w:val="004F2D2C"/>
    <w:rsid w:val="004F4EAB"/>
    <w:rsid w:val="004F57D9"/>
    <w:rsid w:val="004F7A09"/>
    <w:rsid w:val="00510355"/>
    <w:rsid w:val="00510C89"/>
    <w:rsid w:val="005158D0"/>
    <w:rsid w:val="00515AC2"/>
    <w:rsid w:val="0052123F"/>
    <w:rsid w:val="00523FCB"/>
    <w:rsid w:val="005255DB"/>
    <w:rsid w:val="005352D3"/>
    <w:rsid w:val="0053679D"/>
    <w:rsid w:val="00554D38"/>
    <w:rsid w:val="00554EDB"/>
    <w:rsid w:val="00556A42"/>
    <w:rsid w:val="00560430"/>
    <w:rsid w:val="00565639"/>
    <w:rsid w:val="00565E2C"/>
    <w:rsid w:val="0057385E"/>
    <w:rsid w:val="005738FB"/>
    <w:rsid w:val="00574BAF"/>
    <w:rsid w:val="00575FDD"/>
    <w:rsid w:val="00584F21"/>
    <w:rsid w:val="005943A3"/>
    <w:rsid w:val="005A10D1"/>
    <w:rsid w:val="005A12A4"/>
    <w:rsid w:val="005C159F"/>
    <w:rsid w:val="005C191D"/>
    <w:rsid w:val="005C1FF3"/>
    <w:rsid w:val="005D406E"/>
    <w:rsid w:val="005E7BD0"/>
    <w:rsid w:val="00604848"/>
    <w:rsid w:val="00605E44"/>
    <w:rsid w:val="00614163"/>
    <w:rsid w:val="00637C19"/>
    <w:rsid w:val="00640C4B"/>
    <w:rsid w:val="00640E9F"/>
    <w:rsid w:val="00641C22"/>
    <w:rsid w:val="006502E5"/>
    <w:rsid w:val="00653513"/>
    <w:rsid w:val="00654234"/>
    <w:rsid w:val="006547F3"/>
    <w:rsid w:val="00657EBB"/>
    <w:rsid w:val="006631E5"/>
    <w:rsid w:val="00664094"/>
    <w:rsid w:val="00670E7B"/>
    <w:rsid w:val="00670FE4"/>
    <w:rsid w:val="006714FC"/>
    <w:rsid w:val="0067426F"/>
    <w:rsid w:val="006778F9"/>
    <w:rsid w:val="00680427"/>
    <w:rsid w:val="00681C2F"/>
    <w:rsid w:val="00682366"/>
    <w:rsid w:val="00682392"/>
    <w:rsid w:val="006832FC"/>
    <w:rsid w:val="0068387C"/>
    <w:rsid w:val="006838A8"/>
    <w:rsid w:val="00685B85"/>
    <w:rsid w:val="00686386"/>
    <w:rsid w:val="00690444"/>
    <w:rsid w:val="006A3C59"/>
    <w:rsid w:val="006B21FA"/>
    <w:rsid w:val="006B57E5"/>
    <w:rsid w:val="006B77E6"/>
    <w:rsid w:val="006D3E0F"/>
    <w:rsid w:val="006D402E"/>
    <w:rsid w:val="006D4E46"/>
    <w:rsid w:val="006D7A3F"/>
    <w:rsid w:val="006D7B8F"/>
    <w:rsid w:val="006E3358"/>
    <w:rsid w:val="006E7697"/>
    <w:rsid w:val="006F1CA0"/>
    <w:rsid w:val="007024A4"/>
    <w:rsid w:val="00704A35"/>
    <w:rsid w:val="00705605"/>
    <w:rsid w:val="00706B1A"/>
    <w:rsid w:val="00706E00"/>
    <w:rsid w:val="0071461B"/>
    <w:rsid w:val="007228FC"/>
    <w:rsid w:val="00723480"/>
    <w:rsid w:val="00730707"/>
    <w:rsid w:val="0073236A"/>
    <w:rsid w:val="00733785"/>
    <w:rsid w:val="00734AEA"/>
    <w:rsid w:val="007419B2"/>
    <w:rsid w:val="00744599"/>
    <w:rsid w:val="00752642"/>
    <w:rsid w:val="0075639E"/>
    <w:rsid w:val="0076038E"/>
    <w:rsid w:val="00763C1B"/>
    <w:rsid w:val="007727CC"/>
    <w:rsid w:val="00781473"/>
    <w:rsid w:val="0078292E"/>
    <w:rsid w:val="007858B0"/>
    <w:rsid w:val="00786ABD"/>
    <w:rsid w:val="00786C66"/>
    <w:rsid w:val="00786FD2"/>
    <w:rsid w:val="00792372"/>
    <w:rsid w:val="0079410E"/>
    <w:rsid w:val="007B61D2"/>
    <w:rsid w:val="007C19F7"/>
    <w:rsid w:val="007C259E"/>
    <w:rsid w:val="007C3F0B"/>
    <w:rsid w:val="007C7BD2"/>
    <w:rsid w:val="007D0BE2"/>
    <w:rsid w:val="007E0131"/>
    <w:rsid w:val="007E0E5B"/>
    <w:rsid w:val="007F3770"/>
    <w:rsid w:val="007F6AC4"/>
    <w:rsid w:val="00800025"/>
    <w:rsid w:val="0080051F"/>
    <w:rsid w:val="00801E07"/>
    <w:rsid w:val="00802B79"/>
    <w:rsid w:val="00807A8A"/>
    <w:rsid w:val="008173E5"/>
    <w:rsid w:val="00821228"/>
    <w:rsid w:val="00831D72"/>
    <w:rsid w:val="00836169"/>
    <w:rsid w:val="00843E0F"/>
    <w:rsid w:val="00847055"/>
    <w:rsid w:val="0084778C"/>
    <w:rsid w:val="00856490"/>
    <w:rsid w:val="008574F2"/>
    <w:rsid w:val="00863FF5"/>
    <w:rsid w:val="0086608E"/>
    <w:rsid w:val="0087457A"/>
    <w:rsid w:val="00874EA6"/>
    <w:rsid w:val="0087604E"/>
    <w:rsid w:val="00876D77"/>
    <w:rsid w:val="00881977"/>
    <w:rsid w:val="008916FD"/>
    <w:rsid w:val="00896B4D"/>
    <w:rsid w:val="008A3915"/>
    <w:rsid w:val="008A3923"/>
    <w:rsid w:val="008A7110"/>
    <w:rsid w:val="008B3045"/>
    <w:rsid w:val="008B4CB6"/>
    <w:rsid w:val="008C288B"/>
    <w:rsid w:val="008C5804"/>
    <w:rsid w:val="008C7AB8"/>
    <w:rsid w:val="008D00E6"/>
    <w:rsid w:val="008D12A0"/>
    <w:rsid w:val="008D1751"/>
    <w:rsid w:val="008E5F79"/>
    <w:rsid w:val="008E63E8"/>
    <w:rsid w:val="008F182B"/>
    <w:rsid w:val="008F52BE"/>
    <w:rsid w:val="008F78A0"/>
    <w:rsid w:val="009025FB"/>
    <w:rsid w:val="00902E96"/>
    <w:rsid w:val="00911078"/>
    <w:rsid w:val="009152C7"/>
    <w:rsid w:val="00915F27"/>
    <w:rsid w:val="00917AC4"/>
    <w:rsid w:val="00926AA6"/>
    <w:rsid w:val="00930E64"/>
    <w:rsid w:val="00931C2D"/>
    <w:rsid w:val="00931E8B"/>
    <w:rsid w:val="00936EF8"/>
    <w:rsid w:val="00937F44"/>
    <w:rsid w:val="00956BD4"/>
    <w:rsid w:val="00957D97"/>
    <w:rsid w:val="00963578"/>
    <w:rsid w:val="00975C04"/>
    <w:rsid w:val="0098302E"/>
    <w:rsid w:val="00991014"/>
    <w:rsid w:val="00991037"/>
    <w:rsid w:val="009A2819"/>
    <w:rsid w:val="009A5722"/>
    <w:rsid w:val="009A7146"/>
    <w:rsid w:val="009B4503"/>
    <w:rsid w:val="009B7E74"/>
    <w:rsid w:val="009C110F"/>
    <w:rsid w:val="009D0651"/>
    <w:rsid w:val="009D39D2"/>
    <w:rsid w:val="009D43DE"/>
    <w:rsid w:val="009D6403"/>
    <w:rsid w:val="009E0A47"/>
    <w:rsid w:val="009E7C6E"/>
    <w:rsid w:val="00A0187B"/>
    <w:rsid w:val="00A10225"/>
    <w:rsid w:val="00A14365"/>
    <w:rsid w:val="00A20A83"/>
    <w:rsid w:val="00A22D46"/>
    <w:rsid w:val="00A24037"/>
    <w:rsid w:val="00A33C47"/>
    <w:rsid w:val="00A433C4"/>
    <w:rsid w:val="00A460B7"/>
    <w:rsid w:val="00A46250"/>
    <w:rsid w:val="00A57CD3"/>
    <w:rsid w:val="00A6564E"/>
    <w:rsid w:val="00A76FBD"/>
    <w:rsid w:val="00A804E1"/>
    <w:rsid w:val="00A8098C"/>
    <w:rsid w:val="00A8419E"/>
    <w:rsid w:val="00A846FF"/>
    <w:rsid w:val="00A877DE"/>
    <w:rsid w:val="00A87BED"/>
    <w:rsid w:val="00A907B5"/>
    <w:rsid w:val="00A96564"/>
    <w:rsid w:val="00AA0527"/>
    <w:rsid w:val="00AA2AF1"/>
    <w:rsid w:val="00AA64FF"/>
    <w:rsid w:val="00AA71BB"/>
    <w:rsid w:val="00AA7CB2"/>
    <w:rsid w:val="00AB148C"/>
    <w:rsid w:val="00AC1F88"/>
    <w:rsid w:val="00AC439C"/>
    <w:rsid w:val="00AD3EFC"/>
    <w:rsid w:val="00AD443E"/>
    <w:rsid w:val="00AD7C27"/>
    <w:rsid w:val="00AE13C0"/>
    <w:rsid w:val="00AE42FC"/>
    <w:rsid w:val="00AF135F"/>
    <w:rsid w:val="00B16CE2"/>
    <w:rsid w:val="00B22A00"/>
    <w:rsid w:val="00B23099"/>
    <w:rsid w:val="00B255E9"/>
    <w:rsid w:val="00B34299"/>
    <w:rsid w:val="00B35A1B"/>
    <w:rsid w:val="00B41245"/>
    <w:rsid w:val="00B47D27"/>
    <w:rsid w:val="00B509CC"/>
    <w:rsid w:val="00B53643"/>
    <w:rsid w:val="00B543B7"/>
    <w:rsid w:val="00B57DC1"/>
    <w:rsid w:val="00B60493"/>
    <w:rsid w:val="00B633EB"/>
    <w:rsid w:val="00B7659D"/>
    <w:rsid w:val="00B77815"/>
    <w:rsid w:val="00B81601"/>
    <w:rsid w:val="00B90EC4"/>
    <w:rsid w:val="00B92E7E"/>
    <w:rsid w:val="00B95050"/>
    <w:rsid w:val="00B97BAF"/>
    <w:rsid w:val="00BA1D22"/>
    <w:rsid w:val="00BA2F44"/>
    <w:rsid w:val="00BA5521"/>
    <w:rsid w:val="00BA7E0E"/>
    <w:rsid w:val="00BB7577"/>
    <w:rsid w:val="00BC0412"/>
    <w:rsid w:val="00BC2D2F"/>
    <w:rsid w:val="00BC4FF3"/>
    <w:rsid w:val="00BC7A7F"/>
    <w:rsid w:val="00BF5356"/>
    <w:rsid w:val="00C04D9D"/>
    <w:rsid w:val="00C07408"/>
    <w:rsid w:val="00C11EC4"/>
    <w:rsid w:val="00C12781"/>
    <w:rsid w:val="00C13C04"/>
    <w:rsid w:val="00C16741"/>
    <w:rsid w:val="00C1737C"/>
    <w:rsid w:val="00C22E22"/>
    <w:rsid w:val="00C27DA9"/>
    <w:rsid w:val="00C3400F"/>
    <w:rsid w:val="00C37E87"/>
    <w:rsid w:val="00C4105F"/>
    <w:rsid w:val="00C41456"/>
    <w:rsid w:val="00C43501"/>
    <w:rsid w:val="00C454E8"/>
    <w:rsid w:val="00C46054"/>
    <w:rsid w:val="00C47C96"/>
    <w:rsid w:val="00C532D8"/>
    <w:rsid w:val="00C53500"/>
    <w:rsid w:val="00C653AD"/>
    <w:rsid w:val="00C65B7B"/>
    <w:rsid w:val="00C70BE2"/>
    <w:rsid w:val="00C70C95"/>
    <w:rsid w:val="00C714C6"/>
    <w:rsid w:val="00C72969"/>
    <w:rsid w:val="00C73B18"/>
    <w:rsid w:val="00C917B9"/>
    <w:rsid w:val="00C94D4F"/>
    <w:rsid w:val="00C94D50"/>
    <w:rsid w:val="00CA4C68"/>
    <w:rsid w:val="00CB4981"/>
    <w:rsid w:val="00CC5ECD"/>
    <w:rsid w:val="00CC63D3"/>
    <w:rsid w:val="00CC6C07"/>
    <w:rsid w:val="00CD0C6C"/>
    <w:rsid w:val="00CD5AB8"/>
    <w:rsid w:val="00CD6D24"/>
    <w:rsid w:val="00CE5322"/>
    <w:rsid w:val="00CF085D"/>
    <w:rsid w:val="00D04D7F"/>
    <w:rsid w:val="00D14260"/>
    <w:rsid w:val="00D17929"/>
    <w:rsid w:val="00D17A2D"/>
    <w:rsid w:val="00D22F3B"/>
    <w:rsid w:val="00D32809"/>
    <w:rsid w:val="00D41B62"/>
    <w:rsid w:val="00D41CB6"/>
    <w:rsid w:val="00D452C2"/>
    <w:rsid w:val="00D45661"/>
    <w:rsid w:val="00D532B1"/>
    <w:rsid w:val="00D53E76"/>
    <w:rsid w:val="00D62957"/>
    <w:rsid w:val="00D71318"/>
    <w:rsid w:val="00D77A74"/>
    <w:rsid w:val="00D77CDA"/>
    <w:rsid w:val="00D84BED"/>
    <w:rsid w:val="00D91731"/>
    <w:rsid w:val="00D97F19"/>
    <w:rsid w:val="00DA16ED"/>
    <w:rsid w:val="00DA1761"/>
    <w:rsid w:val="00DA3974"/>
    <w:rsid w:val="00DA4BF4"/>
    <w:rsid w:val="00DA7A01"/>
    <w:rsid w:val="00DB479C"/>
    <w:rsid w:val="00DB6FC4"/>
    <w:rsid w:val="00DC0542"/>
    <w:rsid w:val="00DC165E"/>
    <w:rsid w:val="00DC1D79"/>
    <w:rsid w:val="00DD0509"/>
    <w:rsid w:val="00DD3628"/>
    <w:rsid w:val="00DD5627"/>
    <w:rsid w:val="00DF420B"/>
    <w:rsid w:val="00E01A0D"/>
    <w:rsid w:val="00E027B3"/>
    <w:rsid w:val="00E10820"/>
    <w:rsid w:val="00E14D12"/>
    <w:rsid w:val="00E245C1"/>
    <w:rsid w:val="00E3067D"/>
    <w:rsid w:val="00E31053"/>
    <w:rsid w:val="00E3145B"/>
    <w:rsid w:val="00E31CC0"/>
    <w:rsid w:val="00E34FC2"/>
    <w:rsid w:val="00E35CEF"/>
    <w:rsid w:val="00E45475"/>
    <w:rsid w:val="00E46090"/>
    <w:rsid w:val="00E54C2C"/>
    <w:rsid w:val="00E54D5C"/>
    <w:rsid w:val="00E566B9"/>
    <w:rsid w:val="00E622E8"/>
    <w:rsid w:val="00E63725"/>
    <w:rsid w:val="00E67742"/>
    <w:rsid w:val="00E83F6F"/>
    <w:rsid w:val="00E84425"/>
    <w:rsid w:val="00E9083B"/>
    <w:rsid w:val="00E90CDA"/>
    <w:rsid w:val="00E968A4"/>
    <w:rsid w:val="00EA038E"/>
    <w:rsid w:val="00EB51E6"/>
    <w:rsid w:val="00EB6AAF"/>
    <w:rsid w:val="00EC17FE"/>
    <w:rsid w:val="00EC2612"/>
    <w:rsid w:val="00EC70CC"/>
    <w:rsid w:val="00ED17C4"/>
    <w:rsid w:val="00EE0545"/>
    <w:rsid w:val="00EE4E6F"/>
    <w:rsid w:val="00EE50E6"/>
    <w:rsid w:val="00EE58D7"/>
    <w:rsid w:val="00EE5F3C"/>
    <w:rsid w:val="00EF4F97"/>
    <w:rsid w:val="00F04E0E"/>
    <w:rsid w:val="00F062AD"/>
    <w:rsid w:val="00F10DCC"/>
    <w:rsid w:val="00F15A7C"/>
    <w:rsid w:val="00F36D66"/>
    <w:rsid w:val="00F37ED7"/>
    <w:rsid w:val="00F46E53"/>
    <w:rsid w:val="00F478C8"/>
    <w:rsid w:val="00F56C46"/>
    <w:rsid w:val="00F61006"/>
    <w:rsid w:val="00F631E5"/>
    <w:rsid w:val="00F634CF"/>
    <w:rsid w:val="00F75AB0"/>
    <w:rsid w:val="00F7719A"/>
    <w:rsid w:val="00F8078D"/>
    <w:rsid w:val="00F83518"/>
    <w:rsid w:val="00F85EBC"/>
    <w:rsid w:val="00F86C74"/>
    <w:rsid w:val="00F86E45"/>
    <w:rsid w:val="00F93317"/>
    <w:rsid w:val="00FA1A7B"/>
    <w:rsid w:val="00FA6D95"/>
    <w:rsid w:val="00FB047F"/>
    <w:rsid w:val="00FB571B"/>
    <w:rsid w:val="00FC2A0E"/>
    <w:rsid w:val="00FC2FB1"/>
    <w:rsid w:val="00FC6C54"/>
    <w:rsid w:val="00FD0AEE"/>
    <w:rsid w:val="00FE0BC3"/>
    <w:rsid w:val="00FE1079"/>
    <w:rsid w:val="00FE1A86"/>
    <w:rsid w:val="00FE425B"/>
    <w:rsid w:val="00FE6E76"/>
    <w:rsid w:val="00FF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96D6A"/>
  <w15:docId w15:val="{D47476E2-3EC9-4D1D-9093-7126CF0E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22</cp:revision>
  <dcterms:created xsi:type="dcterms:W3CDTF">2014-02-27T17:53:00Z</dcterms:created>
  <dcterms:modified xsi:type="dcterms:W3CDTF">2018-01-11T22:31:00Z</dcterms:modified>
</cp:coreProperties>
</file>